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!Boyacá más conectada¡ MinTIC anuncia los 679 Centros Digitales que brindarán internet gratuito por 10 años en el departamento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1"/>
          <w:smallCaps w:val="0"/>
          <w:strike w:val="0"/>
          <w:color w:val="000000"/>
          <w:shd w:fill="auto" w:val="clear"/>
          <w:vertAlign w:val="baseline"/>
        </w:rPr>
      </w:pPr>
      <w:r w:rsidDel="00000000" w:rsidR="00000000" w:rsidRPr="00000000">
        <w:rPr>
          <w:rFonts w:ascii="Arial Narrow" w:cs="Arial Narrow" w:eastAsia="Arial Narrow" w:hAnsi="Arial Narrow"/>
          <w:i w:val="1"/>
          <w:rtl w:val="0"/>
        </w:rPr>
        <w:t xml:space="preserve">La ministra TIC, Carme Ligia Valderrama, también hizo entrega de 105 computadores para fortalecer </w:t>
      </w:r>
      <w:r w:rsidDel="00000000" w:rsidR="00000000" w:rsidRPr="00000000">
        <w:rPr>
          <w:rFonts w:ascii="Arial Narrow" w:cs="Arial Narrow" w:eastAsia="Arial Narrow" w:hAnsi="Arial Narrow"/>
          <w:i w:val="1"/>
          <w:highlight w:val="white"/>
          <w:rtl w:val="0"/>
        </w:rPr>
        <w:t xml:space="preserve">las capacidades digitales y tecnologícas de los docentes y estudiantes de Boyacá. A la fecha, ya se han entregado 7.767 equipos en el departamento.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i w:val="1"/>
          <w:highlight w:val="white"/>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Arial Narrow" w:cs="Arial Narrow" w:eastAsia="Arial Narrow" w:hAnsi="Arial Narrow"/>
          <w:i w:val="1"/>
          <w:highlight w:val="white"/>
        </w:rPr>
      </w:pPr>
      <w:r w:rsidDel="00000000" w:rsidR="00000000" w:rsidRPr="00000000">
        <w:rPr>
          <w:rFonts w:ascii="Arial Narrow" w:cs="Arial Narrow" w:eastAsia="Arial Narrow" w:hAnsi="Arial Narrow"/>
          <w:i w:val="1"/>
          <w:highlight w:val="white"/>
          <w:rtl w:val="0"/>
        </w:rPr>
        <w:t xml:space="preserve"> Boyacá contará con 679 Centros Digitales, distribuidos en 122 de sus municipios. Con el nuevo contrato entre el MinTIC y la Unión Temporal ETB NET se instalarán 6.589 Centros Digitales en 15 departamentos.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highlight w:val="whit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w:t>
      </w:r>
      <w:r w:rsidDel="00000000" w:rsidR="00000000" w:rsidRPr="00000000">
        <w:rPr>
          <w:rFonts w:ascii="Arial Narrow" w:cs="Arial Narrow" w:eastAsia="Arial Narrow" w:hAnsi="Arial Narrow"/>
          <w:b w:val="1"/>
          <w:rtl w:val="0"/>
        </w:rPr>
        <w:t xml:space="preserve">4</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de junio de 2022 (MinTIC) -</w:t>
      </w:r>
      <w:r w:rsidDel="00000000" w:rsidR="00000000" w:rsidRPr="00000000">
        <w:rPr>
          <w:rFonts w:ascii="Arial Narrow" w:cs="Arial Narrow" w:eastAsia="Arial Narrow" w:hAnsi="Arial Narrow"/>
          <w:b w:val="1"/>
          <w:rtl w:val="0"/>
        </w:rPr>
        <w:t xml:space="preserve"> </w:t>
      </w:r>
      <w:r w:rsidDel="00000000" w:rsidR="00000000" w:rsidRPr="00000000">
        <w:rPr>
          <w:rFonts w:ascii="Arial" w:cs="Arial" w:eastAsia="Arial" w:hAnsi="Arial"/>
          <w:rtl w:val="0"/>
        </w:rPr>
        <w:t xml:space="preserve">En su visita a Boyacá, l</w:t>
      </w:r>
      <w:r w:rsidDel="00000000" w:rsidR="00000000" w:rsidRPr="00000000">
        <w:rPr>
          <w:rFonts w:ascii="Arial" w:cs="Arial" w:eastAsia="Arial" w:hAnsi="Arial"/>
          <w:rtl w:val="0"/>
        </w:rPr>
        <w:t xml:space="preserve">a ministra TIC, Carmen Ligia Valderrama, anunció que el departamento tendrá 679 Centros Digitales, </w:t>
      </w:r>
      <w:r w:rsidDel="00000000" w:rsidR="00000000" w:rsidRPr="00000000">
        <w:rPr>
          <w:rFonts w:ascii="Arial" w:cs="Arial" w:eastAsia="Arial" w:hAnsi="Arial"/>
          <w:highlight w:val="white"/>
          <w:rtl w:val="0"/>
        </w:rPr>
        <w:t xml:space="preserve">que brindarán el servicio de internet gratuito por 10 años a instituciones educativas rurales del territorio y a sus comunidades aledañas. Además, hizo entrega de 105  equipos de cómputo, como parte del programa ‘Computadores para Educar’, con el fin de cerrar la brecha digital del país.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09">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La jefe de la cartera visitó Guacamayas y Boavita, donde sostuvo reuniones con sus respectivos alcaldes y los mandatarios de El Espino, Panqueba, Güicán de la Sierra, El Cocuy Chiscas, Soatá, La Uvita, Susacón, Tipacoque, Sativanorte, Covarachia, Sativasur y Chita, para socializar y explicar la dinámica de los Centros Digitales.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“Nos alegra anunciar que Boyacá hace parte de la Región B del nuevo contrato entre MinTIC y la Unión Temporal ETB NET Colombia Conectada. El departamento contará con 679 Centros Digitales, distribuidos en 122 de sus municipios, de los cuales 674 estarán instalados en Instituciones Educativas, tres en Parques Nacionales, uno un espacio de la Fuerza Militar y uno en un puesto de salud”, expresó la ministra.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El proyecto, que beneficiará con internet hasta el año 2032 a los colegios oficiales de las zonas rurales en el territorio nacional, cuenta con una cobertura de hasta 7.800 m2, el equivalente a una cancha de fútbol, aproximadamente. Los estudiantes, comunidad educativa y demás habitantes de las veredas y corregimientos beneficiados podrán acceder al internet inalámbrico gratuito, las 24 horas al día.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Entrega de computadores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En su visita a Guacamayas, la ministra estuvo en la I.E.T. San Diego de Alcalá para visitar dos laboratorios del programa ‘Computadores Para Educar’ y poder ver cómo estos ayudan a los estudiantes a prepararse para los  los retos de la Cuarta Revolución Industrial. El objetivo del Gobierno es entregar 250 laboratorios a nivel nacional, de los cuales 51 son para Boyáca y ya se han entregado 45.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En este punto, la ministra hizo entrega de 15 computadores a cada alcalde de seis municipios (Guamayas, El Espino, Chiscas, Panqueba, Güicán de la Sierra, El Cocuy). Luego, dio 15 más al alcalde de Boavita, para un total de 105 equipos, que fortalecerán las capacidades digitales y tecnologícas de los docentes y estudiantes del departamento.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A la fecha, en Boyacá se han entregado 7.767 equipos, beneficiando a 71.850 niños, niñas, adolescentes y docentes de 325 sedes de instituciones públicas en 75 municipios.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highlight w:val="white"/>
        </w:rPr>
      </w:pPr>
      <w:r w:rsidDel="00000000" w:rsidR="00000000" w:rsidRPr="00000000">
        <w:rPr>
          <w:rtl w:val="0"/>
        </w:rPr>
      </w:r>
    </w:p>
    <w:sectPr>
      <w:headerReference r:id="rId7" w:type="default"/>
      <w:footerReference r:id="rId8" w:type="default"/>
      <w:pgSz w:h="15842" w:w="12242" w:orient="portrait"/>
      <w:pgMar w:bottom="2268" w:top="2268" w:left="1701" w:right="1134" w:header="284"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4354195</wp:posOffset>
          </wp:positionH>
          <wp:positionV relativeFrom="paragraph">
            <wp:posOffset>-911745</wp:posOffset>
          </wp:positionV>
          <wp:extent cx="1633070" cy="494541"/>
          <wp:effectExtent b="0" l="0" r="0" t="0"/>
          <wp:wrapNone/>
          <wp:docPr descr="Imagen que contiene Icono&#10;&#10;Descripción generada automáticamente" id="9" name="image3.png"/>
          <a:graphic>
            <a:graphicData uri="http://schemas.openxmlformats.org/drawingml/2006/picture">
              <pic:pic>
                <pic:nvPicPr>
                  <pic:cNvPr descr="Imagen que contiene Icono&#10;&#10;Descripción generada automáticamente" id="0" name="image3.png"/>
                  <pic:cNvPicPr preferRelativeResize="0"/>
                </pic:nvPicPr>
                <pic:blipFill>
                  <a:blip r:embed="rId1"/>
                  <a:srcRect b="0" l="0" r="0" t="0"/>
                  <a:stretch>
                    <a:fillRect/>
                  </a:stretch>
                </pic:blipFill>
                <pic:spPr>
                  <a:xfrm>
                    <a:off x="0" y="0"/>
                    <a:ext cx="1633070" cy="494541"/>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-1015999</wp:posOffset>
              </wp:positionV>
              <wp:extent cx="3209925" cy="742950"/>
              <wp:effectExtent b="0" l="0" r="0" t="0"/>
              <wp:wrapSquare wrapText="bothSides" distB="0" distT="0" distL="114300" distR="114300"/>
              <wp:docPr id="7" name=""/>
              <a:graphic>
                <a:graphicData uri="http://schemas.microsoft.com/office/word/2010/wordprocessingShape">
                  <wps:wsp>
                    <wps:cNvSpPr/>
                    <wps:cNvPr id="2" name="Shape 2"/>
                    <wps:spPr>
                      <a:xfrm>
                        <a:off x="3745800" y="3413288"/>
                        <a:ext cx="3200400" cy="733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7f7f7f"/>
                              <w:sz w:val="14"/>
                              <w:vertAlign w:val="baseline"/>
                            </w:rPr>
                            <w:t xml:space="preserve">Ministerio de Tecnologías de la Información y las Comunicaciones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7f7f7f"/>
                              <w:sz w:val="14"/>
                              <w:vertAlign w:val="baseline"/>
                            </w:rPr>
                          </w:r>
                          <w:r w:rsidDel="00000000" w:rsidR="00000000" w:rsidRPr="00000000">
                            <w:rPr>
                              <w:rFonts w:ascii="Arial" w:cs="Arial" w:eastAsia="Arial" w:hAnsi="Arial"/>
                              <w:b w:val="1"/>
                              <w:i w:val="0"/>
                              <w:smallCaps w:val="0"/>
                              <w:strike w:val="0"/>
                              <w:color w:val="7f7f7f"/>
                              <w:sz w:val="14"/>
                              <w:vertAlign w:val="baseline"/>
                            </w:rPr>
                            <w:t xml:space="preserve">Edificio Murillo Toro, Carrera 8, entre calles 12A y 12B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7f7f7f"/>
                              <w:sz w:val="14"/>
                              <w:vertAlign w:val="baseline"/>
                            </w:rPr>
                          </w:r>
                          <w:r w:rsidDel="00000000" w:rsidR="00000000" w:rsidRPr="00000000">
                            <w:rPr>
                              <w:rFonts w:ascii="Arial" w:cs="Arial" w:eastAsia="Arial" w:hAnsi="Arial"/>
                              <w:b w:val="1"/>
                              <w:i w:val="0"/>
                              <w:smallCaps w:val="0"/>
                              <w:strike w:val="0"/>
                              <w:color w:val="7f7f7f"/>
                              <w:sz w:val="14"/>
                              <w:vertAlign w:val="baseline"/>
                            </w:rPr>
                            <w:t xml:space="preserve">Código Postal: 111711 . Bogotá, Colombia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7f7f7f"/>
                              <w:sz w:val="14"/>
                              <w:vertAlign w:val="baseline"/>
                            </w:rPr>
                          </w:r>
                          <w:r w:rsidDel="00000000" w:rsidR="00000000" w:rsidRPr="00000000">
                            <w:rPr>
                              <w:rFonts w:ascii="Arial" w:cs="Arial" w:eastAsia="Arial" w:hAnsi="Arial"/>
                              <w:b w:val="1"/>
                              <w:i w:val="0"/>
                              <w:smallCaps w:val="0"/>
                              <w:strike w:val="0"/>
                              <w:color w:val="7f7f7f"/>
                              <w:sz w:val="14"/>
                              <w:vertAlign w:val="baseline"/>
                            </w:rPr>
                            <w:t xml:space="preserve">T: 601 3443460 Fax: 601 344 2248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7f7f7f"/>
                              <w:sz w:val="14"/>
                              <w:vertAlign w:val="baseline"/>
                            </w:rPr>
                          </w:r>
                          <w:r w:rsidDel="00000000" w:rsidR="00000000" w:rsidRPr="00000000">
                            <w:rPr>
                              <w:rFonts w:ascii="Arial" w:cs="Arial" w:eastAsia="Arial" w:hAnsi="Arial"/>
                              <w:b w:val="1"/>
                              <w:i w:val="0"/>
                              <w:smallCaps w:val="0"/>
                              <w:strike w:val="0"/>
                              <w:color w:val="7f7f7f"/>
                              <w:sz w:val="14"/>
                              <w:vertAlign w:val="baseline"/>
                            </w:rPr>
                            <w:t xml:space="preserve">www.mintic.gov.co</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-1015999</wp:posOffset>
              </wp:positionV>
              <wp:extent cx="3209925" cy="742950"/>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209925" cy="742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wp:posOffset>
          </wp:positionH>
          <wp:positionV relativeFrom="paragraph">
            <wp:posOffset>332105</wp:posOffset>
          </wp:positionV>
          <wp:extent cx="2698750" cy="565785"/>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98750" cy="5657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3"/>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C6FE5"/>
    <w:rPr>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rsid w:val="0044622F"/>
    <w:pPr>
      <w:tabs>
        <w:tab w:val="center" w:pos="4252"/>
        <w:tab w:val="right" w:pos="8504"/>
      </w:tabs>
    </w:pPr>
  </w:style>
  <w:style w:type="paragraph" w:styleId="Piedepgina">
    <w:name w:val="footer"/>
    <w:basedOn w:val="Normal"/>
    <w:link w:val="PiedepginaCar"/>
    <w:rsid w:val="0044622F"/>
    <w:pPr>
      <w:tabs>
        <w:tab w:val="center" w:pos="4252"/>
        <w:tab w:val="right" w:pos="8504"/>
      </w:tabs>
    </w:pPr>
  </w:style>
  <w:style w:type="character" w:styleId="Hipervnculo">
    <w:name w:val="Hyperlink"/>
    <w:rsid w:val="0044622F"/>
    <w:rPr>
      <w:color w:val="0000ff"/>
      <w:u w:val="single"/>
    </w:rPr>
  </w:style>
  <w:style w:type="character" w:styleId="EncabezadoCar" w:customStyle="1">
    <w:name w:val="Encabezado Car"/>
    <w:link w:val="Encabezado"/>
    <w:locked w:val="1"/>
    <w:rsid w:val="005536FF"/>
    <w:rPr>
      <w:sz w:val="24"/>
      <w:szCs w:val="24"/>
      <w:lang w:val="es-CO"/>
    </w:rPr>
  </w:style>
  <w:style w:type="character" w:styleId="PiedepginaCar" w:customStyle="1">
    <w:name w:val="Pie de página Car"/>
    <w:link w:val="Piedepgina"/>
    <w:rsid w:val="008B6007"/>
    <w:rPr>
      <w:sz w:val="24"/>
      <w:szCs w:val="24"/>
      <w:lang w:val="es-CO"/>
    </w:rPr>
  </w:style>
  <w:style w:type="character" w:styleId="Hipervnculovisitado">
    <w:name w:val="FollowedHyperlink"/>
    <w:rsid w:val="00235F31"/>
    <w:rPr>
      <w:color w:val="800080"/>
      <w:u w:val="single"/>
    </w:rPr>
  </w:style>
  <w:style w:type="paragraph" w:styleId="Textodeglobo">
    <w:name w:val="Balloon Text"/>
    <w:basedOn w:val="Normal"/>
    <w:link w:val="TextodegloboCar"/>
    <w:rsid w:val="00EC0F6D"/>
    <w:rPr>
      <w:rFonts w:ascii="Lucida Grande" w:hAnsi="Lucida Grande"/>
      <w:sz w:val="18"/>
      <w:szCs w:val="18"/>
    </w:rPr>
  </w:style>
  <w:style w:type="character" w:styleId="TextodegloboCar" w:customStyle="1">
    <w:name w:val="Texto de globo Car"/>
    <w:link w:val="Textodeglobo"/>
    <w:rsid w:val="00EC0F6D"/>
    <w:rPr>
      <w:rFonts w:ascii="Lucida Grande" w:hAnsi="Lucida Grande"/>
      <w:sz w:val="18"/>
      <w:szCs w:val="18"/>
      <w:lang w:val="es-CO"/>
    </w:rPr>
  </w:style>
  <w:style w:type="paragraph" w:styleId="Sinespaciado">
    <w:name w:val="No Spacing"/>
    <w:uiPriority w:val="1"/>
    <w:qFormat w:val="1"/>
    <w:rsid w:val="00F217D3"/>
    <w:rPr>
      <w:rFonts w:ascii="Calibri" w:eastAsia="Calibri" w:hAnsi="Calibri"/>
      <w:sz w:val="22"/>
      <w:szCs w:val="22"/>
      <w:lang w:eastAsia="en-US"/>
    </w:rPr>
  </w:style>
  <w:style w:type="paragraph" w:styleId="xxmsonormal" w:customStyle="1">
    <w:name w:val="xxmsonormal"/>
    <w:basedOn w:val="Normal"/>
    <w:rsid w:val="00277787"/>
    <w:pPr>
      <w:spacing w:after="100" w:afterAutospacing="1" w:before="100" w:beforeAutospacing="1"/>
    </w:pPr>
    <w:rPr>
      <w:lang w:eastAsia="es-ES_tradnl" w:val="es-419"/>
    </w:rPr>
  </w:style>
  <w:style w:type="character" w:styleId="apple-converted-space" w:customStyle="1">
    <w:name w:val="apple-converted-space"/>
    <w:basedOn w:val="Fuentedeprrafopredeter"/>
    <w:rsid w:val="00277787"/>
  </w:style>
  <w:style w:type="paragraph" w:styleId="xxmsolistparagraph" w:customStyle="1">
    <w:name w:val="xxmsolistparagraph"/>
    <w:basedOn w:val="Normal"/>
    <w:rsid w:val="00277787"/>
    <w:pPr>
      <w:spacing w:after="100" w:afterAutospacing="1" w:before="100" w:beforeAutospacing="1"/>
    </w:pPr>
    <w:rPr>
      <w:lang w:eastAsia="es-ES_tradnl" w:val="es-419"/>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8Ck53SXPNQxwSbjsgxGVtC4Rw==">AMUW2mU5Fp/+hz5Ljsp26aUr21sEsdQZFM7DTxfAWKqhAKv10Pwr3wPQsHXLP1dj/eorfWB1/U6IvzSrNabd4Rrn1rAeVZ/LZ/S9AukW3h8GEMkX3B1ujZg=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2022-06-22T20:37:00Z</dcterms:created>
  <dc:creator>mlozano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0x0101002140332F61108942B3D5193DDFD2C189</vt:lpwstr>
  </property>
</Properties>
</file>