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5FEA57" w14:textId="77777777" w:rsidR="00D33991" w:rsidRPr="00C06C61" w:rsidRDefault="00D33991" w:rsidP="00C06C61">
      <w:pPr>
        <w:pStyle w:val="NormalWeb"/>
        <w:spacing w:before="0" w:beforeAutospacing="0" w:after="0" w:afterAutospacing="0"/>
        <w:rPr>
          <w:rFonts w:ascii="Arial Narrow" w:eastAsia="Batang" w:hAnsi="Arial Narrow" w:cs="Arial"/>
          <w:b/>
          <w:caps/>
          <w:color w:val="000000" w:themeColor="text1"/>
          <w:lang w:eastAsia="ko-KR"/>
        </w:rPr>
      </w:pPr>
    </w:p>
    <w:p w14:paraId="6BADD21C" w14:textId="77777777" w:rsidR="00D33991" w:rsidRPr="00C06C61" w:rsidRDefault="00D33991" w:rsidP="00C06C61">
      <w:pPr>
        <w:pStyle w:val="NormalWeb"/>
        <w:spacing w:before="0" w:beforeAutospacing="0" w:after="0" w:afterAutospacing="0"/>
        <w:ind w:firstLine="708"/>
        <w:jc w:val="center"/>
        <w:rPr>
          <w:rFonts w:ascii="Arial Narrow" w:eastAsia="Batang" w:hAnsi="Arial Narrow" w:cs="Arial"/>
          <w:b/>
          <w:caps/>
          <w:color w:val="000000" w:themeColor="text1"/>
          <w:lang w:eastAsia="ko-KR"/>
        </w:rPr>
      </w:pPr>
      <w:r w:rsidRPr="00C06C61">
        <w:rPr>
          <w:rFonts w:ascii="Arial Narrow" w:eastAsia="Batang" w:hAnsi="Arial Narrow" w:cs="Arial"/>
          <w:b/>
          <w:caps/>
          <w:color w:val="000000" w:themeColor="text1"/>
          <w:lang w:eastAsia="ko-KR"/>
        </w:rPr>
        <w:t>Proyecto de RESOLUCIÓN</w:t>
      </w:r>
    </w:p>
    <w:p w14:paraId="06627975" w14:textId="77777777" w:rsidR="00D33991" w:rsidRPr="00C06C61" w:rsidRDefault="00D33991" w:rsidP="00C06C61">
      <w:pPr>
        <w:jc w:val="center"/>
        <w:rPr>
          <w:rFonts w:ascii="Arial Narrow" w:eastAsia="Batang" w:hAnsi="Arial Narrow" w:cs="Arial"/>
          <w:b/>
          <w:i/>
          <w:caps/>
          <w:color w:val="000000" w:themeColor="text1"/>
          <w:lang w:eastAsia="ko-KR"/>
        </w:rPr>
      </w:pPr>
      <w:bookmarkStart w:id="0" w:name="_Hlk23847835"/>
    </w:p>
    <w:p w14:paraId="0ADA2598" w14:textId="42E3B0BD" w:rsidR="00D32322" w:rsidRPr="00C06C61" w:rsidRDefault="00D32322" w:rsidP="00C06C61">
      <w:pPr>
        <w:jc w:val="center"/>
        <w:rPr>
          <w:rFonts w:ascii="Arial Narrow" w:hAnsi="Arial Narrow" w:cs="Arial"/>
          <w:color w:val="000000" w:themeColor="text1"/>
        </w:rPr>
      </w:pPr>
      <w:r w:rsidRPr="00C06C61">
        <w:rPr>
          <w:rFonts w:ascii="Arial Narrow" w:hAnsi="Arial Narrow" w:cs="Arial"/>
          <w:color w:val="000000" w:themeColor="text1"/>
        </w:rPr>
        <w:t>“</w:t>
      </w:r>
      <w:r w:rsidR="009968B6" w:rsidRPr="009968B6">
        <w:rPr>
          <w:rFonts w:ascii="Arial Narrow" w:hAnsi="Arial Narrow" w:cs="Arial"/>
          <w:color w:val="000000" w:themeColor="text1"/>
        </w:rPr>
        <w:t>Por la cual se adiciona la Resolución 202 de 2010</w:t>
      </w:r>
      <w:r w:rsidRPr="00C06C61">
        <w:rPr>
          <w:rFonts w:ascii="Arial Narrow" w:hAnsi="Arial Narrow" w:cs="Arial"/>
          <w:color w:val="000000" w:themeColor="text1"/>
        </w:rPr>
        <w:t>”</w:t>
      </w:r>
    </w:p>
    <w:bookmarkEnd w:id="0"/>
    <w:p w14:paraId="3045A9C2" w14:textId="77777777" w:rsidR="00D33991" w:rsidRPr="00C06C61" w:rsidRDefault="00D33991" w:rsidP="00C06C61">
      <w:pPr>
        <w:jc w:val="both"/>
        <w:rPr>
          <w:rFonts w:ascii="Arial Narrow" w:hAnsi="Arial Narrow" w:cs="Arial"/>
          <w:b/>
          <w:color w:val="000000" w:themeColor="text1"/>
        </w:rPr>
      </w:pPr>
    </w:p>
    <w:p w14:paraId="7B8E4865" w14:textId="40F7D370" w:rsidR="00D33991" w:rsidRDefault="00D33991" w:rsidP="009968B6">
      <w:pPr>
        <w:jc w:val="right"/>
        <w:rPr>
          <w:rFonts w:ascii="Arial Narrow" w:hAnsi="Arial Narrow" w:cs="Arial"/>
          <w:b/>
          <w:color w:val="000000" w:themeColor="text1"/>
        </w:rPr>
      </w:pPr>
      <w:r w:rsidRPr="00C06C61">
        <w:rPr>
          <w:rFonts w:ascii="Arial Narrow" w:hAnsi="Arial Narrow" w:cs="Arial"/>
          <w:b/>
          <w:color w:val="000000" w:themeColor="text1"/>
        </w:rPr>
        <w:t xml:space="preserve">Bogotá D.C., </w:t>
      </w:r>
      <w:r w:rsidR="009968B6">
        <w:rPr>
          <w:rFonts w:ascii="Arial Narrow" w:hAnsi="Arial Narrow" w:cs="Arial"/>
          <w:b/>
          <w:color w:val="000000" w:themeColor="text1"/>
        </w:rPr>
        <w:t>junio</w:t>
      </w:r>
      <w:r w:rsidR="003E70DB" w:rsidRPr="00C06C61">
        <w:rPr>
          <w:rFonts w:ascii="Arial Narrow" w:hAnsi="Arial Narrow" w:cs="Arial"/>
          <w:b/>
          <w:color w:val="000000" w:themeColor="text1"/>
        </w:rPr>
        <w:t xml:space="preserve"> de 2020</w:t>
      </w:r>
    </w:p>
    <w:p w14:paraId="7E7735F7" w14:textId="77777777" w:rsidR="00C931E0" w:rsidRPr="00C06C61" w:rsidRDefault="00C931E0" w:rsidP="009968B6">
      <w:pPr>
        <w:jc w:val="right"/>
        <w:rPr>
          <w:rFonts w:ascii="Arial Narrow" w:hAnsi="Arial Narrow" w:cs="Arial"/>
          <w:b/>
          <w:color w:val="000000" w:themeColor="text1"/>
        </w:rPr>
      </w:pPr>
    </w:p>
    <w:p w14:paraId="684EF98E" w14:textId="77777777" w:rsidR="00D33991" w:rsidRPr="00C06C61" w:rsidRDefault="00D33991" w:rsidP="00C06C61">
      <w:pPr>
        <w:jc w:val="both"/>
        <w:rPr>
          <w:rFonts w:ascii="Arial Narrow" w:hAnsi="Arial Narrow" w:cs="Arial"/>
          <w:b/>
          <w:color w:val="000000" w:themeColor="text1"/>
        </w:rPr>
      </w:pPr>
    </w:p>
    <w:p w14:paraId="38C8B1ED" w14:textId="77777777" w:rsidR="00D33991" w:rsidRPr="00C06C61" w:rsidRDefault="00D33991" w:rsidP="000B72DC">
      <w:pPr>
        <w:ind w:left="705" w:hanging="705"/>
        <w:jc w:val="both"/>
        <w:rPr>
          <w:rFonts w:ascii="Arial Narrow" w:hAnsi="Arial Narrow" w:cs="Arial"/>
          <w:b/>
          <w:color w:val="000000" w:themeColor="text1"/>
          <w:lang w:val="es-ES_tradnl"/>
        </w:rPr>
      </w:pPr>
      <w:r w:rsidRPr="00C06C61">
        <w:rPr>
          <w:rFonts w:ascii="Arial Narrow" w:hAnsi="Arial Narrow" w:cs="Arial"/>
          <w:b/>
          <w:color w:val="000000" w:themeColor="text1"/>
          <w:lang w:val="es-ES_tradnl"/>
        </w:rPr>
        <w:t>1.</w:t>
      </w:r>
      <w:r w:rsidRPr="00C06C61">
        <w:rPr>
          <w:rFonts w:ascii="Arial Narrow" w:hAnsi="Arial Narrow" w:cs="Arial"/>
          <w:b/>
          <w:color w:val="000000" w:themeColor="text1"/>
          <w:lang w:val="es-ES_tradnl"/>
        </w:rPr>
        <w:tab/>
        <w:t>Antecedentes y las razones de oportunidad y conveniencia que justifican la expedición de la norma</w:t>
      </w:r>
    </w:p>
    <w:p w14:paraId="065E95D0" w14:textId="77777777" w:rsidR="00D33991" w:rsidRPr="00C06C61" w:rsidRDefault="00D33991" w:rsidP="00C06C61">
      <w:pPr>
        <w:jc w:val="both"/>
        <w:rPr>
          <w:rFonts w:ascii="Arial Narrow" w:hAnsi="Arial Narrow" w:cs="Arial"/>
          <w:color w:val="000000" w:themeColor="text1"/>
        </w:rPr>
      </w:pPr>
    </w:p>
    <w:p w14:paraId="319587A4" w14:textId="77777777" w:rsidR="00BC54B0" w:rsidRPr="00E021FA" w:rsidRDefault="00BC54B0" w:rsidP="00BC54B0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Mediante la Resolución 202 del 8 de marzo de 2010 el </w:t>
      </w:r>
      <w:r w:rsidRPr="00E021FA">
        <w:rPr>
          <w:rFonts w:ascii="Arial Narrow" w:hAnsi="Arial Narrow" w:cs="Arial"/>
        </w:rPr>
        <w:t>Ministerio de Tecnologías de la Información y las Comunicaciones expidió el glosario de definiciones para el Sector de Tecnologías de la Información y las Comunicaciones</w:t>
      </w:r>
      <w:r>
        <w:rPr>
          <w:rFonts w:ascii="Arial Narrow" w:hAnsi="Arial Narrow" w:cs="Arial"/>
        </w:rPr>
        <w:t>, conforme a lo ordenado por el inciso segundo del artículo 6 de la Ley 1341 de 2009</w:t>
      </w:r>
      <w:r w:rsidRPr="00E021FA">
        <w:rPr>
          <w:rFonts w:ascii="Arial Narrow" w:hAnsi="Arial Narrow" w:cs="Arial"/>
        </w:rPr>
        <w:t>.</w:t>
      </w:r>
    </w:p>
    <w:p w14:paraId="50817139" w14:textId="77777777" w:rsidR="00BC54B0" w:rsidRDefault="00BC54B0" w:rsidP="00BC54B0">
      <w:pPr>
        <w:jc w:val="both"/>
        <w:rPr>
          <w:rFonts w:ascii="Arial Narrow" w:hAnsi="Arial Narrow" w:cs="Arial"/>
        </w:rPr>
      </w:pPr>
    </w:p>
    <w:p w14:paraId="10E17EF6" w14:textId="77777777" w:rsidR="00BC54B0" w:rsidRPr="00E021FA" w:rsidRDefault="00BC54B0" w:rsidP="00BC54B0">
      <w:pPr>
        <w:jc w:val="both"/>
        <w:rPr>
          <w:rFonts w:ascii="Arial Narrow" w:hAnsi="Arial Narrow" w:cs="Arial"/>
        </w:rPr>
      </w:pPr>
      <w:r w:rsidRPr="00E021FA">
        <w:rPr>
          <w:rFonts w:ascii="Arial Narrow" w:hAnsi="Arial Narrow" w:cs="Arial"/>
        </w:rPr>
        <w:t xml:space="preserve">El </w:t>
      </w:r>
      <w:r>
        <w:rPr>
          <w:rFonts w:ascii="Arial Narrow" w:hAnsi="Arial Narrow" w:cs="Arial"/>
        </w:rPr>
        <w:t xml:space="preserve">citado precepto fue </w:t>
      </w:r>
      <w:r w:rsidRPr="00E021FA">
        <w:rPr>
          <w:rFonts w:ascii="Arial Narrow" w:hAnsi="Arial Narrow" w:cs="Arial"/>
        </w:rPr>
        <w:t xml:space="preserve">modificado por el artículo 5 de la Ley 1978 de 2019, </w:t>
      </w:r>
      <w:r>
        <w:rPr>
          <w:rFonts w:ascii="Arial Narrow" w:hAnsi="Arial Narrow" w:cs="Arial"/>
        </w:rPr>
        <w:t xml:space="preserve">y </w:t>
      </w:r>
      <w:r w:rsidRPr="00E021FA">
        <w:rPr>
          <w:rFonts w:ascii="Arial Narrow" w:hAnsi="Arial Narrow" w:cs="Arial"/>
        </w:rPr>
        <w:t xml:space="preserve">señala que </w:t>
      </w:r>
      <w:r>
        <w:rPr>
          <w:rFonts w:ascii="Arial Narrow" w:hAnsi="Arial Narrow" w:cs="Arial"/>
        </w:rPr>
        <w:t>“</w:t>
      </w:r>
      <w:r w:rsidRPr="00514176">
        <w:rPr>
          <w:rFonts w:ascii="Arial Narrow" w:hAnsi="Arial Narrow" w:cs="Arial"/>
          <w:i/>
        </w:rPr>
        <w:t xml:space="preserve">el Ministerio de Tecnologías de la Información y las Comunicaciones, con el apoyo técnico de la Comisión de Regulación de Comunicaciones, deberá expedir el glosario de definiciones acordes con los postulados de la UIT y otros organismos internacionales con los cuales </w:t>
      </w:r>
      <w:r w:rsidRPr="00C70C32">
        <w:rPr>
          <w:rFonts w:ascii="Arial Narrow" w:hAnsi="Arial Narrow" w:cs="Arial"/>
          <w:i/>
        </w:rPr>
        <w:t>Colombia sea firmante de protocolos referidos a estas materia</w:t>
      </w:r>
      <w:r w:rsidRPr="00514176">
        <w:rPr>
          <w:rFonts w:ascii="Arial Narrow" w:hAnsi="Arial Narrow" w:cs="Arial"/>
          <w:i/>
        </w:rPr>
        <w:t>s</w:t>
      </w:r>
      <w:r>
        <w:rPr>
          <w:rFonts w:ascii="Arial Narrow" w:hAnsi="Arial Narrow" w:cs="Arial"/>
          <w:i/>
        </w:rPr>
        <w:t>”</w:t>
      </w:r>
      <w:r w:rsidRPr="00E021FA">
        <w:rPr>
          <w:rFonts w:ascii="Arial Narrow" w:hAnsi="Arial Narrow" w:cs="Arial"/>
        </w:rPr>
        <w:t>.</w:t>
      </w:r>
    </w:p>
    <w:p w14:paraId="35D06262" w14:textId="77777777" w:rsidR="00BC54B0" w:rsidRPr="00E021FA" w:rsidRDefault="00BC54B0" w:rsidP="00BC54B0">
      <w:pPr>
        <w:jc w:val="both"/>
        <w:rPr>
          <w:rFonts w:ascii="Arial Narrow" w:hAnsi="Arial Narrow" w:cs="Arial"/>
        </w:rPr>
      </w:pPr>
    </w:p>
    <w:p w14:paraId="165B1A3A" w14:textId="77777777" w:rsidR="00BC54B0" w:rsidRDefault="00BC54B0" w:rsidP="00BC54B0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De acuerdo con el mandato de focalización y priorización de las inversiones contenido en la reforma introducida por la Ley 1978 de 2019, se hace necesario adicionar los conceptos de </w:t>
      </w:r>
      <w:proofErr w:type="gramStart"/>
      <w:r w:rsidRPr="00201EF8">
        <w:rPr>
          <w:rFonts w:ascii="Arial Narrow" w:hAnsi="Arial Narrow" w:cs="Arial"/>
          <w:i/>
        </w:rPr>
        <w:t>acceso universal</w:t>
      </w:r>
      <w:r>
        <w:rPr>
          <w:rFonts w:ascii="Arial Narrow" w:hAnsi="Arial Narrow" w:cs="Arial"/>
        </w:rPr>
        <w:t xml:space="preserve"> y </w:t>
      </w:r>
      <w:r w:rsidRPr="00201EF8">
        <w:rPr>
          <w:rFonts w:ascii="Arial Narrow" w:hAnsi="Arial Narrow" w:cs="Arial"/>
          <w:i/>
        </w:rPr>
        <w:t>servicio universal</w:t>
      </w:r>
      <w:proofErr w:type="gramEnd"/>
      <w:r>
        <w:rPr>
          <w:rFonts w:ascii="Arial Narrow" w:hAnsi="Arial Narrow" w:cs="Arial"/>
        </w:rPr>
        <w:t>, que deben guiar la intervención del Ministerio de Tecnologías de la Información y las Comunicaciones, así como las inversiones del Fondo Único de Tecnologías de la Información y las Comunicaciones, según lo dispuesto en la citada Ley.</w:t>
      </w:r>
    </w:p>
    <w:p w14:paraId="4AD4B2E5" w14:textId="6F444A1A" w:rsidR="00D33991" w:rsidRPr="00BC54B0" w:rsidRDefault="00D33991" w:rsidP="00C06C61">
      <w:pPr>
        <w:jc w:val="both"/>
        <w:rPr>
          <w:rFonts w:ascii="Arial Narrow" w:hAnsi="Arial Narrow" w:cs="Arial"/>
          <w:color w:val="000000" w:themeColor="text1"/>
        </w:rPr>
      </w:pPr>
    </w:p>
    <w:p w14:paraId="1C59E2E8" w14:textId="649217CA" w:rsidR="00E8258B" w:rsidRPr="00C06C61" w:rsidRDefault="00E8258B" w:rsidP="00BC54B0">
      <w:pPr>
        <w:jc w:val="both"/>
        <w:rPr>
          <w:rFonts w:ascii="Arial Narrow" w:hAnsi="Arial Narrow" w:cs="Arial"/>
          <w:color w:val="000000" w:themeColor="text1"/>
          <w:lang w:val="es-ES_tradnl"/>
        </w:rPr>
      </w:pPr>
    </w:p>
    <w:p w14:paraId="3F629EA5" w14:textId="77777777" w:rsidR="00D33991" w:rsidRPr="00C06C61" w:rsidRDefault="00D33991" w:rsidP="00C06C61">
      <w:pPr>
        <w:jc w:val="both"/>
        <w:rPr>
          <w:rFonts w:ascii="Arial Narrow" w:hAnsi="Arial Narrow" w:cs="Arial"/>
          <w:b/>
          <w:color w:val="000000" w:themeColor="text1"/>
          <w:lang w:val="es-ES_tradnl"/>
        </w:rPr>
      </w:pPr>
      <w:r w:rsidRPr="00C06C61">
        <w:rPr>
          <w:rFonts w:ascii="Arial Narrow" w:hAnsi="Arial Narrow" w:cs="Arial"/>
          <w:b/>
          <w:color w:val="000000" w:themeColor="text1"/>
          <w:lang w:val="es-ES_tradnl"/>
        </w:rPr>
        <w:t>2.</w:t>
      </w:r>
      <w:r w:rsidRPr="00C06C61">
        <w:rPr>
          <w:rFonts w:ascii="Arial Narrow" w:hAnsi="Arial Narrow" w:cs="Arial"/>
          <w:b/>
          <w:color w:val="000000" w:themeColor="text1"/>
          <w:lang w:val="es-ES_tradnl"/>
        </w:rPr>
        <w:tab/>
        <w:t>Ámbito de aplicación del acto administrativo</w:t>
      </w:r>
    </w:p>
    <w:p w14:paraId="456CFAE8" w14:textId="77777777" w:rsidR="00D33991" w:rsidRPr="00C06C61" w:rsidRDefault="00D33991" w:rsidP="00C06C61">
      <w:pPr>
        <w:jc w:val="both"/>
        <w:rPr>
          <w:rFonts w:ascii="Arial Narrow" w:hAnsi="Arial Narrow" w:cs="Arial"/>
          <w:color w:val="000000" w:themeColor="text1"/>
          <w:lang w:val="es-ES_tradnl"/>
        </w:rPr>
      </w:pPr>
    </w:p>
    <w:p w14:paraId="00E25D64" w14:textId="07B9208F" w:rsidR="00D33991" w:rsidRPr="00C06C61" w:rsidRDefault="00BC54B0" w:rsidP="00C06C61">
      <w:pPr>
        <w:jc w:val="both"/>
        <w:rPr>
          <w:rFonts w:ascii="Arial Narrow" w:hAnsi="Arial Narrow" w:cs="Arial"/>
          <w:color w:val="000000" w:themeColor="text1"/>
          <w:lang w:val="es-ES_tradnl"/>
        </w:rPr>
      </w:pPr>
      <w:r>
        <w:rPr>
          <w:rFonts w:ascii="Arial Narrow" w:hAnsi="Arial Narrow" w:cs="Arial"/>
          <w:color w:val="000000" w:themeColor="text1"/>
          <w:lang w:val="es-ES_tradnl"/>
        </w:rPr>
        <w:t>El Glosario aplica a todos los agentes que hacen parte</w:t>
      </w:r>
      <w:r w:rsidR="00C931E0">
        <w:rPr>
          <w:rFonts w:ascii="Arial Narrow" w:hAnsi="Arial Narrow" w:cs="Arial"/>
          <w:color w:val="000000" w:themeColor="text1"/>
          <w:lang w:val="es-ES_tradnl"/>
        </w:rPr>
        <w:t xml:space="preserve"> del Sector TIC</w:t>
      </w:r>
      <w:r w:rsidR="003227F8">
        <w:rPr>
          <w:rFonts w:ascii="Arial Narrow" w:hAnsi="Arial Narrow" w:cs="Arial"/>
          <w:color w:val="000000" w:themeColor="text1"/>
          <w:lang w:val="es-ES_tradnl"/>
        </w:rPr>
        <w:t>.</w:t>
      </w:r>
    </w:p>
    <w:p w14:paraId="3F5D8E01" w14:textId="77777777" w:rsidR="000D234C" w:rsidRPr="00C06C61" w:rsidRDefault="000D234C" w:rsidP="00C06C61">
      <w:pPr>
        <w:jc w:val="both"/>
        <w:rPr>
          <w:rFonts w:ascii="Arial Narrow" w:hAnsi="Arial Narrow" w:cs="Arial"/>
          <w:color w:val="000000" w:themeColor="text1"/>
          <w:lang w:val="es-ES_tradnl"/>
        </w:rPr>
      </w:pPr>
    </w:p>
    <w:p w14:paraId="45C30F8D" w14:textId="77777777" w:rsidR="00D33991" w:rsidRPr="00C06C61" w:rsidRDefault="00D33991" w:rsidP="00C06C61">
      <w:pPr>
        <w:jc w:val="both"/>
        <w:rPr>
          <w:rFonts w:ascii="Arial Narrow" w:hAnsi="Arial Narrow" w:cs="Arial"/>
          <w:b/>
          <w:color w:val="000000" w:themeColor="text1"/>
          <w:lang w:val="es-ES_tradnl"/>
        </w:rPr>
      </w:pPr>
      <w:r w:rsidRPr="00C06C61">
        <w:rPr>
          <w:rFonts w:ascii="Arial Narrow" w:hAnsi="Arial Narrow" w:cs="Arial"/>
          <w:b/>
          <w:color w:val="000000" w:themeColor="text1"/>
          <w:lang w:val="es-ES_tradnl"/>
        </w:rPr>
        <w:t>3.</w:t>
      </w:r>
      <w:r w:rsidRPr="00C06C61">
        <w:rPr>
          <w:rFonts w:ascii="Arial Narrow" w:hAnsi="Arial Narrow" w:cs="Arial"/>
          <w:b/>
          <w:color w:val="000000" w:themeColor="text1"/>
          <w:lang w:val="es-ES_tradnl"/>
        </w:rPr>
        <w:tab/>
        <w:t xml:space="preserve">Estudio preliminar de viabilidad jurídica de la expedición de la norma </w:t>
      </w:r>
    </w:p>
    <w:p w14:paraId="01FF66EB" w14:textId="56AFB166" w:rsidR="00D33991" w:rsidRDefault="00D33991" w:rsidP="00C06C61">
      <w:pPr>
        <w:jc w:val="both"/>
        <w:rPr>
          <w:rFonts w:ascii="Arial Narrow" w:hAnsi="Arial Narrow" w:cs="Arial"/>
          <w:color w:val="000000" w:themeColor="text1"/>
          <w:lang w:val="es-ES_tradnl"/>
        </w:rPr>
      </w:pPr>
    </w:p>
    <w:p w14:paraId="2D356D59" w14:textId="3578B79F" w:rsidR="003227F8" w:rsidRPr="00C06C61" w:rsidRDefault="003227F8" w:rsidP="00C06C61">
      <w:pPr>
        <w:jc w:val="both"/>
        <w:rPr>
          <w:rFonts w:ascii="Arial Narrow" w:hAnsi="Arial Narrow"/>
          <w:color w:val="000000" w:themeColor="text1"/>
        </w:rPr>
      </w:pPr>
      <w:r>
        <w:rPr>
          <w:rFonts w:ascii="Arial Narrow" w:hAnsi="Arial Narrow" w:cs="Arial"/>
          <w:color w:val="000000" w:themeColor="text1"/>
          <w:lang w:val="es-ES_tradnl"/>
        </w:rPr>
        <w:t xml:space="preserve">La expedición de la norma </w:t>
      </w:r>
      <w:r w:rsidR="000B59C2">
        <w:rPr>
          <w:rFonts w:ascii="Arial Narrow" w:hAnsi="Arial Narrow" w:cs="Arial"/>
          <w:color w:val="000000" w:themeColor="text1"/>
          <w:lang w:val="es-ES_tradnl"/>
        </w:rPr>
        <w:t xml:space="preserve">se soporta en el artículo 6 de la Ley 1341 de 2009, </w:t>
      </w:r>
      <w:r w:rsidR="006B64EE">
        <w:rPr>
          <w:rFonts w:ascii="Arial Narrow" w:hAnsi="Arial Narrow" w:cs="Arial"/>
          <w:color w:val="000000" w:themeColor="text1"/>
          <w:lang w:val="es-ES_tradnl"/>
        </w:rPr>
        <w:t xml:space="preserve">modificado por el </w:t>
      </w:r>
      <w:r w:rsidR="00742ED8">
        <w:rPr>
          <w:rFonts w:ascii="Arial Narrow" w:hAnsi="Arial Narrow" w:cs="Arial"/>
          <w:color w:val="000000" w:themeColor="text1"/>
          <w:lang w:val="es-ES_tradnl"/>
        </w:rPr>
        <w:t>artículo 5 de la Ley 1978 de 2019.</w:t>
      </w:r>
    </w:p>
    <w:p w14:paraId="506602AE" w14:textId="77777777" w:rsidR="00D33991" w:rsidRPr="00C06C61" w:rsidRDefault="00D33991" w:rsidP="00C06C61">
      <w:pPr>
        <w:contextualSpacing/>
        <w:jc w:val="both"/>
        <w:rPr>
          <w:rFonts w:ascii="Arial Narrow" w:hAnsi="Arial Narrow" w:cs="Arial"/>
          <w:color w:val="000000" w:themeColor="text1"/>
        </w:rPr>
      </w:pPr>
    </w:p>
    <w:p w14:paraId="7481B44F" w14:textId="0337DD46" w:rsidR="00D33991" w:rsidRPr="00C06C61" w:rsidRDefault="00D33991" w:rsidP="00C06C61">
      <w:pPr>
        <w:jc w:val="both"/>
        <w:rPr>
          <w:rFonts w:ascii="Arial Narrow" w:hAnsi="Arial Narrow" w:cs="Arial"/>
          <w:b/>
          <w:color w:val="000000" w:themeColor="text1"/>
        </w:rPr>
      </w:pPr>
      <w:r w:rsidRPr="00C06C61">
        <w:rPr>
          <w:rFonts w:ascii="Arial Narrow" w:hAnsi="Arial Narrow" w:cs="Arial"/>
          <w:b/>
          <w:color w:val="000000" w:themeColor="text1"/>
          <w:lang w:eastAsia="en-US"/>
        </w:rPr>
        <w:t>3.</w:t>
      </w:r>
      <w:r w:rsidR="00E30A0E" w:rsidRPr="00C06C61">
        <w:rPr>
          <w:rFonts w:ascii="Arial Narrow" w:hAnsi="Arial Narrow" w:cs="Arial"/>
          <w:b/>
          <w:color w:val="000000" w:themeColor="text1"/>
          <w:lang w:eastAsia="en-US"/>
        </w:rPr>
        <w:t>1</w:t>
      </w:r>
      <w:r w:rsidRPr="00C06C61">
        <w:rPr>
          <w:rFonts w:ascii="Arial Narrow" w:hAnsi="Arial Narrow" w:cs="Arial"/>
          <w:b/>
          <w:color w:val="000000" w:themeColor="text1"/>
          <w:lang w:eastAsia="en-US"/>
        </w:rPr>
        <w:t>.</w:t>
      </w:r>
      <w:r w:rsidRPr="00C06C61">
        <w:rPr>
          <w:rFonts w:ascii="Arial Narrow" w:hAnsi="Arial Narrow" w:cs="Arial"/>
          <w:b/>
          <w:color w:val="000000" w:themeColor="text1"/>
          <w:lang w:eastAsia="en-US"/>
        </w:rPr>
        <w:tab/>
        <w:t xml:space="preserve">Vigencia de la ley o norma reglamentada o desarrollada con el </w:t>
      </w:r>
      <w:r w:rsidRPr="00C06C61">
        <w:rPr>
          <w:rFonts w:ascii="Arial Narrow" w:hAnsi="Arial Narrow" w:cs="Arial"/>
          <w:b/>
          <w:color w:val="000000" w:themeColor="text1"/>
          <w:lang w:val="es-ES_tradnl"/>
        </w:rPr>
        <w:t>acto administrativo</w:t>
      </w:r>
    </w:p>
    <w:p w14:paraId="2EEF3881" w14:textId="77777777" w:rsidR="00D33991" w:rsidRPr="00C06C61" w:rsidRDefault="00D33991" w:rsidP="00C06C61">
      <w:pPr>
        <w:jc w:val="both"/>
        <w:rPr>
          <w:rFonts w:ascii="Arial Narrow" w:hAnsi="Arial Narrow" w:cs="Arial"/>
          <w:color w:val="000000" w:themeColor="text1"/>
          <w:lang w:val="es-ES"/>
        </w:rPr>
      </w:pPr>
    </w:p>
    <w:p w14:paraId="2A5785CE" w14:textId="0F8CED2D" w:rsidR="00D33991" w:rsidRPr="00C06C61" w:rsidRDefault="00D33991" w:rsidP="00C06C61">
      <w:pPr>
        <w:jc w:val="both"/>
        <w:rPr>
          <w:rFonts w:ascii="Arial Narrow" w:hAnsi="Arial Narrow" w:cs="Arial"/>
          <w:color w:val="000000" w:themeColor="text1"/>
          <w:lang w:val="es-ES"/>
        </w:rPr>
      </w:pPr>
      <w:r w:rsidRPr="00C06C61">
        <w:rPr>
          <w:rFonts w:ascii="Arial Narrow" w:hAnsi="Arial Narrow" w:cs="Arial"/>
          <w:color w:val="000000" w:themeColor="text1"/>
          <w:lang w:val="es-ES"/>
        </w:rPr>
        <w:t>Las disposiciones de la Ley 1341 de 2009</w:t>
      </w:r>
      <w:r w:rsidR="00742ED8">
        <w:rPr>
          <w:rFonts w:ascii="Arial Narrow" w:hAnsi="Arial Narrow" w:cs="Arial"/>
          <w:color w:val="000000" w:themeColor="text1"/>
          <w:lang w:val="es-ES"/>
        </w:rPr>
        <w:t xml:space="preserve"> y de</w:t>
      </w:r>
      <w:r w:rsidRPr="00C06C61">
        <w:rPr>
          <w:rFonts w:ascii="Arial Narrow" w:hAnsi="Arial Narrow" w:cs="Arial"/>
          <w:color w:val="000000" w:themeColor="text1"/>
          <w:lang w:val="es-ES"/>
        </w:rPr>
        <w:t xml:space="preserve"> la Ley 1978 de 2019 que sustentan la expedición del proyecto normativo se encuentran actualmente vigentes y no han tenido limitaciones vía jurisprudencia.</w:t>
      </w:r>
    </w:p>
    <w:p w14:paraId="0BFF3D84" w14:textId="77777777" w:rsidR="00D33991" w:rsidRPr="00C06C61" w:rsidRDefault="00D33991" w:rsidP="00C06C61">
      <w:pPr>
        <w:jc w:val="both"/>
        <w:rPr>
          <w:rFonts w:ascii="Arial Narrow" w:hAnsi="Arial Narrow" w:cs="Arial"/>
          <w:color w:val="000000" w:themeColor="text1"/>
          <w:lang w:val="es-ES_tradnl"/>
        </w:rPr>
      </w:pPr>
    </w:p>
    <w:p w14:paraId="59E7BAC2" w14:textId="38C1F099" w:rsidR="00D33991" w:rsidRPr="00C06C61" w:rsidRDefault="00D33991" w:rsidP="00C06C61">
      <w:pPr>
        <w:ind w:left="705" w:hanging="705"/>
        <w:jc w:val="both"/>
        <w:rPr>
          <w:rFonts w:ascii="Arial Narrow" w:hAnsi="Arial Narrow" w:cs="Arial"/>
          <w:b/>
          <w:color w:val="000000" w:themeColor="text1"/>
        </w:rPr>
      </w:pPr>
      <w:r w:rsidRPr="00C06C61">
        <w:rPr>
          <w:rFonts w:ascii="Arial Narrow" w:hAnsi="Arial Narrow" w:cs="Arial"/>
          <w:b/>
          <w:color w:val="000000" w:themeColor="text1"/>
          <w:lang w:eastAsia="en-US"/>
        </w:rPr>
        <w:t>3.</w:t>
      </w:r>
      <w:r w:rsidR="00E30A0E" w:rsidRPr="00C06C61">
        <w:rPr>
          <w:rFonts w:ascii="Arial Narrow" w:hAnsi="Arial Narrow" w:cs="Arial"/>
          <w:b/>
          <w:color w:val="000000" w:themeColor="text1"/>
          <w:lang w:eastAsia="en-US"/>
        </w:rPr>
        <w:t>2</w:t>
      </w:r>
      <w:r w:rsidRPr="00C06C61">
        <w:rPr>
          <w:rFonts w:ascii="Arial Narrow" w:hAnsi="Arial Narrow" w:cs="Arial"/>
          <w:b/>
          <w:color w:val="000000" w:themeColor="text1"/>
          <w:lang w:eastAsia="en-US"/>
        </w:rPr>
        <w:t>.</w:t>
      </w:r>
      <w:r w:rsidRPr="00C06C61">
        <w:rPr>
          <w:rFonts w:ascii="Arial Narrow" w:hAnsi="Arial Narrow" w:cs="Arial"/>
          <w:b/>
          <w:color w:val="000000" w:themeColor="text1"/>
          <w:lang w:eastAsia="en-US"/>
        </w:rPr>
        <w:tab/>
        <w:t xml:space="preserve">Disposiciones que se derogan, subrogan, modifican, adicionan o desarrollan con el </w:t>
      </w:r>
      <w:r w:rsidRPr="00C06C61">
        <w:rPr>
          <w:rFonts w:ascii="Arial Narrow" w:hAnsi="Arial Narrow" w:cs="Arial"/>
          <w:b/>
          <w:color w:val="000000" w:themeColor="text1"/>
          <w:lang w:val="es-ES_tradnl"/>
        </w:rPr>
        <w:t>acto administrativo</w:t>
      </w:r>
    </w:p>
    <w:p w14:paraId="29F47B18" w14:textId="77777777" w:rsidR="006B2153" w:rsidRPr="00C06C61" w:rsidRDefault="006B2153" w:rsidP="00C06C61">
      <w:pPr>
        <w:jc w:val="both"/>
        <w:rPr>
          <w:rFonts w:ascii="Arial Narrow" w:hAnsi="Arial Narrow" w:cs="Arial"/>
          <w:color w:val="000000" w:themeColor="text1"/>
        </w:rPr>
      </w:pPr>
    </w:p>
    <w:p w14:paraId="232320A9" w14:textId="3CE0517A" w:rsidR="00D33991" w:rsidRPr="00C06C61" w:rsidRDefault="00D33991" w:rsidP="00C06C61">
      <w:pPr>
        <w:jc w:val="both"/>
        <w:rPr>
          <w:rFonts w:ascii="Arial Narrow" w:hAnsi="Arial Narrow" w:cs="Arial"/>
          <w:color w:val="000000" w:themeColor="text1"/>
        </w:rPr>
      </w:pPr>
      <w:r w:rsidRPr="00C06C61">
        <w:rPr>
          <w:rFonts w:ascii="Arial Narrow" w:hAnsi="Arial Narrow" w:cs="Arial"/>
          <w:color w:val="000000" w:themeColor="text1"/>
        </w:rPr>
        <w:t xml:space="preserve">El proyecto de </w:t>
      </w:r>
      <w:r w:rsidR="00981158">
        <w:rPr>
          <w:rFonts w:ascii="Arial Narrow" w:hAnsi="Arial Narrow" w:cs="Arial"/>
          <w:color w:val="000000" w:themeColor="text1"/>
        </w:rPr>
        <w:t>R</w:t>
      </w:r>
      <w:r w:rsidRPr="00C06C61">
        <w:rPr>
          <w:rFonts w:ascii="Arial Narrow" w:hAnsi="Arial Narrow" w:cs="Arial"/>
          <w:color w:val="000000" w:themeColor="text1"/>
        </w:rPr>
        <w:t xml:space="preserve">esolución </w:t>
      </w:r>
      <w:r w:rsidR="006B2153" w:rsidRPr="00C06C61">
        <w:rPr>
          <w:rFonts w:ascii="Arial Narrow" w:hAnsi="Arial Narrow" w:cs="Arial"/>
          <w:color w:val="000000" w:themeColor="text1"/>
        </w:rPr>
        <w:t xml:space="preserve">adiciona </w:t>
      </w:r>
      <w:r w:rsidR="00981158">
        <w:rPr>
          <w:rFonts w:ascii="Arial Narrow" w:hAnsi="Arial Narrow" w:cs="Arial"/>
          <w:color w:val="000000" w:themeColor="text1"/>
        </w:rPr>
        <w:t>el artículo 1 de la</w:t>
      </w:r>
      <w:r w:rsidR="006B2153" w:rsidRPr="00C06C61">
        <w:rPr>
          <w:rFonts w:ascii="Arial Narrow" w:hAnsi="Arial Narrow" w:cs="Arial"/>
          <w:color w:val="000000" w:themeColor="text1"/>
        </w:rPr>
        <w:t xml:space="preserve"> Resolución 202 de </w:t>
      </w:r>
      <w:r w:rsidR="000E160F" w:rsidRPr="00C06C61">
        <w:rPr>
          <w:rFonts w:ascii="Arial Narrow" w:hAnsi="Arial Narrow" w:cs="Arial"/>
          <w:color w:val="000000" w:themeColor="text1"/>
        </w:rPr>
        <w:t>2010</w:t>
      </w:r>
      <w:r w:rsidR="006B2153" w:rsidRPr="00C06C61">
        <w:rPr>
          <w:rFonts w:ascii="Arial Narrow" w:hAnsi="Arial Narrow" w:cs="Arial"/>
          <w:color w:val="000000" w:themeColor="text1"/>
        </w:rPr>
        <w:t>.</w:t>
      </w:r>
    </w:p>
    <w:p w14:paraId="15A8BE2D" w14:textId="77777777" w:rsidR="00D33991" w:rsidRPr="00C06C61" w:rsidRDefault="00D33991" w:rsidP="00C06C61">
      <w:pPr>
        <w:jc w:val="both"/>
        <w:rPr>
          <w:rFonts w:ascii="Arial Narrow" w:hAnsi="Arial Narrow" w:cs="Arial"/>
          <w:color w:val="000000" w:themeColor="text1"/>
        </w:rPr>
      </w:pPr>
    </w:p>
    <w:p w14:paraId="033E9E64" w14:textId="64FBEC7A" w:rsidR="000B72DC" w:rsidRPr="00C06C61" w:rsidRDefault="00D33991" w:rsidP="000B72DC">
      <w:pPr>
        <w:ind w:left="705" w:hanging="705"/>
        <w:jc w:val="both"/>
        <w:rPr>
          <w:rFonts w:ascii="Arial Narrow" w:hAnsi="Arial Narrow" w:cs="Arial"/>
          <w:b/>
          <w:color w:val="000000" w:themeColor="text1"/>
        </w:rPr>
      </w:pPr>
      <w:r w:rsidRPr="00C06C61">
        <w:rPr>
          <w:rFonts w:ascii="Arial Narrow" w:hAnsi="Arial Narrow" w:cs="Arial"/>
          <w:b/>
          <w:color w:val="000000" w:themeColor="text1"/>
        </w:rPr>
        <w:t>3.</w:t>
      </w:r>
      <w:r w:rsidR="00E30A0E" w:rsidRPr="00C06C61">
        <w:rPr>
          <w:rFonts w:ascii="Arial Narrow" w:hAnsi="Arial Narrow" w:cs="Arial"/>
          <w:b/>
          <w:color w:val="000000" w:themeColor="text1"/>
        </w:rPr>
        <w:t>3</w:t>
      </w:r>
      <w:r w:rsidRPr="00C06C61">
        <w:rPr>
          <w:rFonts w:ascii="Arial Narrow" w:hAnsi="Arial Narrow" w:cs="Arial"/>
          <w:b/>
          <w:color w:val="000000" w:themeColor="text1"/>
        </w:rPr>
        <w:t>.</w:t>
      </w:r>
      <w:r w:rsidRPr="00C06C61">
        <w:rPr>
          <w:rFonts w:ascii="Arial Narrow" w:hAnsi="Arial Narrow" w:cs="Arial"/>
          <w:color w:val="000000" w:themeColor="text1"/>
        </w:rPr>
        <w:tab/>
      </w:r>
      <w:r w:rsidRPr="00C06C61">
        <w:rPr>
          <w:rFonts w:ascii="Arial Narrow" w:hAnsi="Arial Narrow" w:cs="Arial"/>
          <w:b/>
          <w:color w:val="000000" w:themeColor="text1"/>
        </w:rPr>
        <w:t>Revisión y análisis de las decisiones judiciales de los órganos de cierre de cada jurisdicción que pueden tener impacto o ser relevantes para la expedición del acto</w:t>
      </w:r>
    </w:p>
    <w:p w14:paraId="2D5DD8F6" w14:textId="77777777" w:rsidR="00D33991" w:rsidRPr="00C06C61" w:rsidRDefault="00D33991" w:rsidP="00C06C61">
      <w:pPr>
        <w:jc w:val="both"/>
        <w:rPr>
          <w:rFonts w:ascii="Arial Narrow" w:hAnsi="Arial Narrow" w:cs="Arial"/>
          <w:color w:val="000000" w:themeColor="text1"/>
        </w:rPr>
      </w:pPr>
    </w:p>
    <w:p w14:paraId="04592505" w14:textId="77777777" w:rsidR="00D33991" w:rsidRPr="00C06C61" w:rsidRDefault="00D33991" w:rsidP="00C06C61">
      <w:pPr>
        <w:jc w:val="both"/>
        <w:rPr>
          <w:rFonts w:ascii="Arial Narrow" w:hAnsi="Arial Narrow" w:cs="Arial"/>
          <w:color w:val="000000" w:themeColor="text1"/>
        </w:rPr>
      </w:pPr>
      <w:r w:rsidRPr="00C06C61">
        <w:rPr>
          <w:rFonts w:ascii="Arial Narrow" w:hAnsi="Arial Narrow" w:cs="Arial"/>
          <w:color w:val="000000" w:themeColor="text1"/>
        </w:rPr>
        <w:t>A la fecha no hay precedentes jurisprudenciales que puedan tener impacto o ser relevantes para la expedición del acto.</w:t>
      </w:r>
    </w:p>
    <w:p w14:paraId="6AEDE783" w14:textId="77777777" w:rsidR="00D33991" w:rsidRPr="00C06C61" w:rsidRDefault="00D33991" w:rsidP="00C06C61">
      <w:pPr>
        <w:ind w:left="705" w:hanging="705"/>
        <w:jc w:val="both"/>
        <w:rPr>
          <w:rFonts w:ascii="Arial Narrow" w:hAnsi="Arial Narrow" w:cs="Arial"/>
          <w:b/>
          <w:color w:val="000000" w:themeColor="text1"/>
        </w:rPr>
      </w:pPr>
    </w:p>
    <w:p w14:paraId="43D77D5B" w14:textId="3224619F" w:rsidR="00D33991" w:rsidRPr="00C06C61" w:rsidRDefault="00D33991" w:rsidP="00C06C61">
      <w:pPr>
        <w:ind w:left="705" w:hanging="705"/>
        <w:jc w:val="both"/>
        <w:rPr>
          <w:rFonts w:ascii="Arial Narrow" w:hAnsi="Arial Narrow" w:cs="Arial"/>
          <w:b/>
          <w:color w:val="000000" w:themeColor="text1"/>
        </w:rPr>
      </w:pPr>
      <w:r w:rsidRPr="00C06C61">
        <w:rPr>
          <w:rFonts w:ascii="Arial Narrow" w:hAnsi="Arial Narrow" w:cs="Arial"/>
          <w:b/>
          <w:color w:val="000000" w:themeColor="text1"/>
        </w:rPr>
        <w:t>3.</w:t>
      </w:r>
      <w:r w:rsidR="00E30A0E" w:rsidRPr="00C06C61">
        <w:rPr>
          <w:rFonts w:ascii="Arial Narrow" w:hAnsi="Arial Narrow" w:cs="Arial"/>
          <w:b/>
          <w:color w:val="000000" w:themeColor="text1"/>
        </w:rPr>
        <w:t>4</w:t>
      </w:r>
      <w:r w:rsidRPr="00C06C61">
        <w:rPr>
          <w:rFonts w:ascii="Arial Narrow" w:hAnsi="Arial Narrow" w:cs="Arial"/>
          <w:b/>
          <w:color w:val="000000" w:themeColor="text1"/>
        </w:rPr>
        <w:t>.</w:t>
      </w:r>
      <w:r w:rsidRPr="00C06C61">
        <w:rPr>
          <w:rFonts w:ascii="Arial Narrow" w:hAnsi="Arial Narrow" w:cs="Arial"/>
          <w:color w:val="000000" w:themeColor="text1"/>
        </w:rPr>
        <w:tab/>
      </w:r>
      <w:r w:rsidRPr="00C06C61">
        <w:rPr>
          <w:rFonts w:ascii="Arial Narrow" w:hAnsi="Arial Narrow" w:cs="Arial"/>
          <w:b/>
          <w:color w:val="000000" w:themeColor="text1"/>
        </w:rPr>
        <w:t>Advertencia de cualquier otra circunstancia jurídica que pueda ser relevante para la expedición del acto</w:t>
      </w:r>
    </w:p>
    <w:p w14:paraId="3CF0F422" w14:textId="77777777" w:rsidR="00D33991" w:rsidRPr="00C06C61" w:rsidRDefault="00D33991" w:rsidP="00C06C61">
      <w:pPr>
        <w:jc w:val="both"/>
        <w:rPr>
          <w:rFonts w:ascii="Arial Narrow" w:hAnsi="Arial Narrow" w:cs="Arial"/>
          <w:color w:val="000000" w:themeColor="text1"/>
        </w:rPr>
      </w:pPr>
    </w:p>
    <w:p w14:paraId="71B2EF9E" w14:textId="5537B0F3" w:rsidR="006B2153" w:rsidRPr="00C06C61" w:rsidRDefault="00D33991" w:rsidP="00C06C61">
      <w:pPr>
        <w:jc w:val="both"/>
        <w:rPr>
          <w:rFonts w:ascii="Arial Narrow" w:hAnsi="Arial Narrow" w:cs="Arial"/>
          <w:color w:val="000000" w:themeColor="text1"/>
        </w:rPr>
      </w:pPr>
      <w:r w:rsidRPr="00C06C61">
        <w:rPr>
          <w:rFonts w:ascii="Arial Narrow" w:hAnsi="Arial Narrow" w:cs="Arial"/>
          <w:color w:val="000000" w:themeColor="text1"/>
        </w:rPr>
        <w:t>No se identificó ninguna otra circunstancia jurídica que pueda ser relevante para la expedición del proyecto de resolución en comento.</w:t>
      </w:r>
    </w:p>
    <w:p w14:paraId="789F7895" w14:textId="77777777" w:rsidR="00D33991" w:rsidRPr="00C06C61" w:rsidRDefault="00D33991" w:rsidP="00C06C61">
      <w:pPr>
        <w:jc w:val="both"/>
        <w:rPr>
          <w:rFonts w:ascii="Arial Narrow" w:hAnsi="Arial Narrow" w:cs="Arial"/>
          <w:color w:val="000000" w:themeColor="text1"/>
        </w:rPr>
      </w:pPr>
    </w:p>
    <w:p w14:paraId="18E1D375" w14:textId="77777777" w:rsidR="00D33991" w:rsidRPr="00C06C61" w:rsidRDefault="00D33991" w:rsidP="00C06C61">
      <w:pPr>
        <w:jc w:val="both"/>
        <w:rPr>
          <w:rFonts w:ascii="Arial Narrow" w:hAnsi="Arial Narrow" w:cs="Arial"/>
          <w:b/>
          <w:color w:val="000000" w:themeColor="text1"/>
          <w:lang w:val="es-ES_tradnl"/>
        </w:rPr>
      </w:pPr>
      <w:r w:rsidRPr="00C06C61">
        <w:rPr>
          <w:rFonts w:ascii="Arial Narrow" w:hAnsi="Arial Narrow" w:cs="Arial"/>
          <w:b/>
          <w:color w:val="000000" w:themeColor="text1"/>
          <w:lang w:val="es-ES_tradnl"/>
        </w:rPr>
        <w:t>4.</w:t>
      </w:r>
      <w:r w:rsidRPr="00C06C61">
        <w:rPr>
          <w:rFonts w:ascii="Arial Narrow" w:hAnsi="Arial Narrow" w:cs="Arial"/>
          <w:b/>
          <w:color w:val="000000" w:themeColor="text1"/>
          <w:lang w:val="es-ES_tradnl"/>
        </w:rPr>
        <w:tab/>
        <w:t>Estudio preliminar sobre posible impacto económico de la norma a expedir</w:t>
      </w:r>
    </w:p>
    <w:p w14:paraId="2A79F590" w14:textId="77777777" w:rsidR="00D33991" w:rsidRPr="00C06C61" w:rsidRDefault="00D33991" w:rsidP="00C06C61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 w:themeColor="text1"/>
        </w:rPr>
      </w:pPr>
    </w:p>
    <w:p w14:paraId="23CE68C9" w14:textId="6ED4B943" w:rsidR="006B2153" w:rsidRPr="00C06C61" w:rsidRDefault="00D33991" w:rsidP="00C06C61">
      <w:pPr>
        <w:jc w:val="both"/>
        <w:rPr>
          <w:rFonts w:ascii="Arial Narrow" w:hAnsi="Arial Narrow" w:cs="Arial"/>
          <w:color w:val="000000" w:themeColor="text1"/>
        </w:rPr>
      </w:pPr>
      <w:r w:rsidRPr="00C06C61">
        <w:rPr>
          <w:rFonts w:ascii="Arial Narrow" w:hAnsi="Arial Narrow" w:cs="Arial"/>
          <w:color w:val="000000" w:themeColor="text1"/>
        </w:rPr>
        <w:t xml:space="preserve">El proyecto de </w:t>
      </w:r>
      <w:r w:rsidR="00981158">
        <w:rPr>
          <w:rFonts w:ascii="Arial Narrow" w:hAnsi="Arial Narrow" w:cs="Arial"/>
          <w:color w:val="000000" w:themeColor="text1"/>
        </w:rPr>
        <w:t>R</w:t>
      </w:r>
      <w:r w:rsidRPr="00C06C61">
        <w:rPr>
          <w:rFonts w:ascii="Arial Narrow" w:hAnsi="Arial Narrow" w:cs="Arial"/>
          <w:color w:val="000000" w:themeColor="text1"/>
        </w:rPr>
        <w:t xml:space="preserve">esolución </w:t>
      </w:r>
      <w:r w:rsidR="006B2153" w:rsidRPr="00C06C61">
        <w:rPr>
          <w:rFonts w:ascii="Arial Narrow" w:hAnsi="Arial Narrow" w:cs="Arial"/>
          <w:color w:val="000000" w:themeColor="text1"/>
        </w:rPr>
        <w:t>“Por la cual se adiciona la Resolución 202 de 2010 y se adoptan nuevas definiciones del Glosario para el Sector de Tecnologías de la Información y las Comunicaciones.”, no genera impacto económico</w:t>
      </w:r>
      <w:r w:rsidR="00981158">
        <w:rPr>
          <w:rFonts w:ascii="Arial Narrow" w:hAnsi="Arial Narrow" w:cs="Arial"/>
          <w:color w:val="000000" w:themeColor="text1"/>
        </w:rPr>
        <w:t>, porque no implica erogación</w:t>
      </w:r>
      <w:r w:rsidR="006B2153" w:rsidRPr="00C06C61">
        <w:rPr>
          <w:rFonts w:ascii="Arial Narrow" w:hAnsi="Arial Narrow" w:cs="Arial"/>
          <w:color w:val="000000" w:themeColor="text1"/>
        </w:rPr>
        <w:t xml:space="preserve">. </w:t>
      </w:r>
    </w:p>
    <w:p w14:paraId="4096A7D5" w14:textId="2FABEE58" w:rsidR="00D33991" w:rsidRDefault="00D33991" w:rsidP="00C06C61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 w:themeColor="text1"/>
        </w:rPr>
      </w:pPr>
    </w:p>
    <w:p w14:paraId="5A474646" w14:textId="77777777" w:rsidR="000B72DC" w:rsidRPr="00C06C61" w:rsidRDefault="000B72DC" w:rsidP="00C06C61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 w:themeColor="text1"/>
        </w:rPr>
      </w:pPr>
    </w:p>
    <w:p w14:paraId="578E3C3F" w14:textId="77777777" w:rsidR="00D33991" w:rsidRPr="00C06C61" w:rsidRDefault="00D33991" w:rsidP="00C06C61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color w:val="000000" w:themeColor="text1"/>
        </w:rPr>
      </w:pPr>
      <w:r w:rsidRPr="00C06C61">
        <w:rPr>
          <w:rFonts w:ascii="Arial Narrow" w:hAnsi="Arial Narrow" w:cs="Arial"/>
          <w:b/>
          <w:bCs/>
          <w:color w:val="000000" w:themeColor="text1"/>
        </w:rPr>
        <w:t>5.</w:t>
      </w:r>
      <w:r w:rsidRPr="00C06C61">
        <w:rPr>
          <w:rFonts w:ascii="Arial Narrow" w:hAnsi="Arial Narrow" w:cs="Arial"/>
          <w:b/>
          <w:bCs/>
          <w:color w:val="000000" w:themeColor="text1"/>
        </w:rPr>
        <w:tab/>
        <w:t>Disponibilidad presupuestal</w:t>
      </w:r>
    </w:p>
    <w:p w14:paraId="06AA28F0" w14:textId="77777777" w:rsidR="00D33991" w:rsidRPr="00C06C61" w:rsidRDefault="00D33991" w:rsidP="00C06C61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color w:val="000000" w:themeColor="text1"/>
        </w:rPr>
      </w:pPr>
    </w:p>
    <w:p w14:paraId="48F12FD1" w14:textId="4BA5E08E" w:rsidR="006B2153" w:rsidRPr="00C06C61" w:rsidRDefault="00981158" w:rsidP="00C06C61">
      <w:pPr>
        <w:autoSpaceDE w:val="0"/>
        <w:autoSpaceDN w:val="0"/>
        <w:adjustRightInd w:val="0"/>
        <w:jc w:val="both"/>
        <w:rPr>
          <w:rFonts w:ascii="Arial Narrow" w:hAnsi="Arial Narrow" w:cs="Arial"/>
          <w:bCs/>
          <w:color w:val="000000" w:themeColor="text1"/>
        </w:rPr>
      </w:pPr>
      <w:r>
        <w:rPr>
          <w:rFonts w:ascii="Arial Narrow" w:hAnsi="Arial Narrow" w:cs="Arial"/>
          <w:bCs/>
          <w:color w:val="000000" w:themeColor="text1"/>
        </w:rPr>
        <w:t>El proyecto de Resolución no implica erogación.</w:t>
      </w:r>
    </w:p>
    <w:p w14:paraId="67C43A58" w14:textId="77777777" w:rsidR="00D33991" w:rsidRPr="00C06C61" w:rsidRDefault="00D33991" w:rsidP="00C06C61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color w:val="000000" w:themeColor="text1"/>
        </w:rPr>
      </w:pPr>
    </w:p>
    <w:p w14:paraId="6DFF1E81" w14:textId="77777777" w:rsidR="00D33991" w:rsidRPr="00C06C61" w:rsidRDefault="00D33991" w:rsidP="00C06C61">
      <w:pPr>
        <w:autoSpaceDE w:val="0"/>
        <w:autoSpaceDN w:val="0"/>
        <w:adjustRightInd w:val="0"/>
        <w:ind w:left="705" w:hanging="705"/>
        <w:jc w:val="both"/>
        <w:rPr>
          <w:rFonts w:ascii="Arial Narrow" w:hAnsi="Arial Narrow" w:cs="Arial"/>
          <w:b/>
          <w:bCs/>
          <w:color w:val="000000" w:themeColor="text1"/>
        </w:rPr>
      </w:pPr>
      <w:r w:rsidRPr="00C06C61">
        <w:rPr>
          <w:rFonts w:ascii="Arial Narrow" w:hAnsi="Arial Narrow" w:cs="Arial"/>
          <w:b/>
          <w:bCs/>
          <w:color w:val="000000" w:themeColor="text1"/>
        </w:rPr>
        <w:t>6.</w:t>
      </w:r>
      <w:r w:rsidRPr="00C06C61">
        <w:rPr>
          <w:rFonts w:ascii="Arial Narrow" w:hAnsi="Arial Narrow" w:cs="Arial"/>
          <w:b/>
          <w:bCs/>
          <w:color w:val="000000" w:themeColor="text1"/>
        </w:rPr>
        <w:tab/>
      </w:r>
      <w:r w:rsidRPr="00C06C61">
        <w:rPr>
          <w:rFonts w:ascii="Arial Narrow" w:hAnsi="Arial Narrow" w:cs="Arial"/>
          <w:b/>
          <w:color w:val="000000" w:themeColor="text1"/>
          <w:lang w:val="es-ES_tradnl"/>
        </w:rPr>
        <w:t>Estudio preliminar sobre posible impacto</w:t>
      </w:r>
      <w:r w:rsidRPr="00C06C61">
        <w:rPr>
          <w:rFonts w:ascii="Arial Narrow" w:hAnsi="Arial Narrow" w:cs="Arial"/>
          <w:b/>
          <w:bCs/>
          <w:color w:val="000000" w:themeColor="text1"/>
        </w:rPr>
        <w:t xml:space="preserve"> medioambiental o sobre el patrimonio cultural de la Nación</w:t>
      </w:r>
    </w:p>
    <w:p w14:paraId="6F422136" w14:textId="77777777" w:rsidR="00D33991" w:rsidRPr="00C06C61" w:rsidRDefault="00D33991" w:rsidP="00C06C61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 w:themeColor="text1"/>
        </w:rPr>
      </w:pPr>
    </w:p>
    <w:p w14:paraId="5701199D" w14:textId="77777777" w:rsidR="00D33991" w:rsidRPr="00C06C61" w:rsidRDefault="00D33991" w:rsidP="00C06C61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 w:themeColor="text1"/>
        </w:rPr>
      </w:pPr>
      <w:r w:rsidRPr="00C06C61">
        <w:rPr>
          <w:rFonts w:ascii="Arial Narrow" w:hAnsi="Arial Narrow" w:cs="Arial"/>
          <w:color w:val="000000" w:themeColor="text1"/>
        </w:rPr>
        <w:t>La norma para expedir no genera impacto medioambiental o sobre el patrimonio cultural de la Nación.</w:t>
      </w:r>
    </w:p>
    <w:p w14:paraId="604085C2" w14:textId="77777777" w:rsidR="00D33991" w:rsidRPr="00C06C61" w:rsidRDefault="00D33991" w:rsidP="00C06C61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 w:themeColor="text1"/>
        </w:rPr>
      </w:pPr>
    </w:p>
    <w:p w14:paraId="265848A2" w14:textId="77777777" w:rsidR="00D33991" w:rsidRPr="00C06C61" w:rsidRDefault="00D33991" w:rsidP="00C06C61">
      <w:pPr>
        <w:contextualSpacing/>
        <w:jc w:val="both"/>
        <w:rPr>
          <w:rFonts w:ascii="Arial Narrow" w:hAnsi="Arial Narrow" w:cs="Arial"/>
          <w:b/>
          <w:color w:val="000000" w:themeColor="text1"/>
        </w:rPr>
      </w:pPr>
    </w:p>
    <w:p w14:paraId="23E72A92" w14:textId="77777777" w:rsidR="00D33991" w:rsidRPr="00C06C61" w:rsidRDefault="00D33991" w:rsidP="00C06C61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color w:val="000000" w:themeColor="text1"/>
        </w:rPr>
      </w:pPr>
      <w:r w:rsidRPr="00C06C61">
        <w:rPr>
          <w:rFonts w:ascii="Arial Narrow" w:hAnsi="Arial Narrow" w:cs="Arial"/>
          <w:b/>
          <w:color w:val="000000" w:themeColor="text1"/>
        </w:rPr>
        <w:t>7.</w:t>
      </w:r>
      <w:r w:rsidRPr="00C06C61">
        <w:rPr>
          <w:rFonts w:ascii="Arial Narrow" w:hAnsi="Arial Narrow" w:cs="Arial"/>
          <w:b/>
          <w:color w:val="000000" w:themeColor="text1"/>
        </w:rPr>
        <w:tab/>
        <w:t>Manifestación de Impacto Regulatorio</w:t>
      </w:r>
    </w:p>
    <w:p w14:paraId="7658F3F5" w14:textId="77777777" w:rsidR="00D33991" w:rsidRPr="00C06C61" w:rsidRDefault="00D33991" w:rsidP="00C06C61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color w:val="000000" w:themeColor="text1"/>
        </w:rPr>
      </w:pPr>
    </w:p>
    <w:p w14:paraId="4D9404CD" w14:textId="77777777" w:rsidR="00D33991" w:rsidRPr="00C06C61" w:rsidRDefault="00D33991" w:rsidP="00C06C61">
      <w:pPr>
        <w:jc w:val="both"/>
        <w:rPr>
          <w:rFonts w:ascii="Arial Narrow" w:eastAsia="Times New Roman" w:hAnsi="Arial Narrow" w:cs="Arial"/>
          <w:color w:val="000000" w:themeColor="text1"/>
          <w:lang w:val="es-ES" w:eastAsia="es-ES"/>
        </w:rPr>
      </w:pPr>
      <w:r w:rsidRPr="00C06C61">
        <w:rPr>
          <w:rFonts w:ascii="Arial Narrow" w:eastAsia="Times New Roman" w:hAnsi="Arial Narrow" w:cs="Arial"/>
          <w:color w:val="000000" w:themeColor="text1"/>
          <w:lang w:val="es-ES" w:eastAsia="es-ES"/>
        </w:rPr>
        <w:t>El proyecto normativo no está generando un trámite y por tanto no necesita manifestación de impacto regulatorio.</w:t>
      </w:r>
    </w:p>
    <w:sectPr w:rsidR="00D33991" w:rsidRPr="00C06C61" w:rsidSect="00BC54B0">
      <w:headerReference w:type="default" r:id="rId11"/>
      <w:footerReference w:type="default" r:id="rId12"/>
      <w:pgSz w:w="12240" w:h="15840" w:code="1"/>
      <w:pgMar w:top="1418" w:right="104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9317AF" w14:textId="77777777" w:rsidR="00841EDC" w:rsidRDefault="00841EDC" w:rsidP="00D33991">
      <w:r>
        <w:separator/>
      </w:r>
    </w:p>
  </w:endnote>
  <w:endnote w:type="continuationSeparator" w:id="0">
    <w:p w14:paraId="7F1F1635" w14:textId="77777777" w:rsidR="00841EDC" w:rsidRDefault="00841EDC" w:rsidP="00D33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 Narrow" w:hAnsi="Arial Narrow"/>
        <w:sz w:val="16"/>
        <w:szCs w:val="16"/>
      </w:rPr>
      <w:id w:val="-361285649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  <w:sz w:val="16"/>
            <w:szCs w:val="16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793503AD" w14:textId="77777777" w:rsidR="00CD1720" w:rsidRDefault="009C692B" w:rsidP="00CB061F">
            <w:pPr>
              <w:pStyle w:val="Piedepgina"/>
              <w:rPr>
                <w:rFonts w:ascii="Arial Narrow" w:hAnsi="Arial Narrow"/>
                <w:sz w:val="16"/>
                <w:szCs w:val="16"/>
              </w:rPr>
            </w:pPr>
          </w:p>
          <w:p w14:paraId="01DAF6DE" w14:textId="77777777" w:rsidR="00CD1720" w:rsidRDefault="00CF7CD5" w:rsidP="00CB061F">
            <w:pPr>
              <w:pStyle w:val="Piedepgina"/>
              <w:rPr>
                <w:rFonts w:ascii="Arial Narrow" w:hAnsi="Arial Narrow"/>
                <w:bCs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ab/>
            </w:r>
            <w:r w:rsidRPr="00374DDE">
              <w:rPr>
                <w:rFonts w:ascii="Arial Narrow" w:hAnsi="Arial Narrow"/>
                <w:sz w:val="16"/>
                <w:szCs w:val="16"/>
                <w:lang w:val="es-ES"/>
              </w:rPr>
              <w:t xml:space="preserve">Página 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instrText>PAGE</w:instrTex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bCs/>
                <w:noProof/>
                <w:sz w:val="16"/>
                <w:szCs w:val="16"/>
              </w:rPr>
              <w:t>3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 w:rsidRPr="00374DDE">
              <w:rPr>
                <w:rFonts w:ascii="Arial Narrow" w:hAnsi="Arial Narrow"/>
                <w:sz w:val="16"/>
                <w:szCs w:val="16"/>
                <w:lang w:val="es-ES"/>
              </w:rPr>
              <w:t xml:space="preserve"> de 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instrText>NUMPAGES</w:instrTex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bCs/>
                <w:noProof/>
                <w:sz w:val="16"/>
                <w:szCs w:val="16"/>
              </w:rPr>
              <w:t>3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>
              <w:rPr>
                <w:rFonts w:ascii="Arial Narrow" w:hAnsi="Arial Narrow"/>
                <w:bCs/>
                <w:sz w:val="16"/>
                <w:szCs w:val="16"/>
              </w:rPr>
              <w:tab/>
              <w:t>GJU-TIC-FM-013</w:t>
            </w:r>
          </w:p>
          <w:p w14:paraId="483D4F3B" w14:textId="36BFB9A0" w:rsidR="00CD1720" w:rsidRPr="00374DDE" w:rsidRDefault="00CF7CD5" w:rsidP="00CB061F">
            <w:pPr>
              <w:pStyle w:val="Piedepgina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Cs/>
                <w:sz w:val="16"/>
                <w:szCs w:val="16"/>
              </w:rPr>
              <w:tab/>
            </w:r>
            <w:r>
              <w:rPr>
                <w:rFonts w:ascii="Arial Narrow" w:hAnsi="Arial Narrow"/>
                <w:bCs/>
                <w:sz w:val="16"/>
                <w:szCs w:val="16"/>
              </w:rPr>
              <w:tab/>
              <w:t>V 1.0</w:t>
            </w:r>
          </w:p>
        </w:sdtContent>
      </w:sdt>
    </w:sdtContent>
  </w:sdt>
  <w:p w14:paraId="73156732" w14:textId="77777777" w:rsidR="00CD1720" w:rsidRDefault="009C692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DDC1B6" w14:textId="77777777" w:rsidR="00841EDC" w:rsidRDefault="00841EDC" w:rsidP="00D33991">
      <w:r>
        <w:separator/>
      </w:r>
    </w:p>
  </w:footnote>
  <w:footnote w:type="continuationSeparator" w:id="0">
    <w:p w14:paraId="71B6E5B0" w14:textId="77777777" w:rsidR="00841EDC" w:rsidRDefault="00841EDC" w:rsidP="00D33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461" w:type="pct"/>
      <w:jc w:val="center"/>
      <w:tblBorders>
        <w:insideH w:val="single" w:sz="4" w:space="0" w:color="auto"/>
      </w:tblBorders>
      <w:tblLook w:val="01E0" w:firstRow="1" w:lastRow="1" w:firstColumn="1" w:lastColumn="1" w:noHBand="0" w:noVBand="0"/>
    </w:tblPr>
    <w:tblGrid>
      <w:gridCol w:w="10993"/>
    </w:tblGrid>
    <w:tr w:rsidR="00CD1720" w:rsidRPr="00384075" w14:paraId="68B9F1BE" w14:textId="77777777" w:rsidTr="001F260D">
      <w:trPr>
        <w:trHeight w:val="565"/>
        <w:jc w:val="center"/>
      </w:trPr>
      <w:tc>
        <w:tcPr>
          <w:tcW w:w="9889" w:type="dxa"/>
          <w:vAlign w:val="center"/>
        </w:tcPr>
        <w:p w14:paraId="481A8212" w14:textId="77777777" w:rsidR="00CD1720" w:rsidRPr="00384075" w:rsidRDefault="00CF7CD5" w:rsidP="00E6543A">
          <w:pPr>
            <w:pStyle w:val="Estilo2"/>
            <w:numPr>
              <w:ilvl w:val="0"/>
              <w:numId w:val="0"/>
            </w:numPr>
            <w:ind w:left="360"/>
            <w:jc w:val="right"/>
            <w:rPr>
              <w:rFonts w:ascii="Arial" w:hAnsi="Arial" w:cs="Arial"/>
              <w:sz w:val="20"/>
              <w:szCs w:val="20"/>
            </w:rPr>
          </w:pPr>
          <w:r w:rsidRPr="00384075">
            <w:rPr>
              <w:rFonts w:ascii="Arial" w:hAnsi="Arial" w:cs="Arial"/>
              <w:sz w:val="20"/>
              <w:szCs w:val="20"/>
            </w:rPr>
            <w:t xml:space="preserve"> </w:t>
          </w:r>
        </w:p>
        <w:tbl>
          <w:tblPr>
            <w:tblStyle w:val="Tablaconcuadrcula"/>
            <w:tblW w:w="10033" w:type="dxa"/>
            <w:tblLook w:val="04A0" w:firstRow="1" w:lastRow="0" w:firstColumn="1" w:lastColumn="0" w:noHBand="0" w:noVBand="1"/>
          </w:tblPr>
          <w:tblGrid>
            <w:gridCol w:w="3606"/>
            <w:gridCol w:w="4871"/>
            <w:gridCol w:w="1556"/>
          </w:tblGrid>
          <w:tr w:rsidR="00CD1720" w14:paraId="525822C7" w14:textId="77777777" w:rsidTr="00687CCA">
            <w:trPr>
              <w:trHeight w:val="1275"/>
            </w:trPr>
            <w:tc>
              <w:tcPr>
                <w:tcW w:w="2183" w:type="dxa"/>
                <w:vAlign w:val="center"/>
              </w:tcPr>
              <w:p w14:paraId="3BFCBF13" w14:textId="77777777" w:rsidR="00CD1720" w:rsidRDefault="00CF7CD5" w:rsidP="00282E9D">
                <w:pPr>
                  <w:pStyle w:val="Encabezado"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78B2154E" wp14:editId="62E853A2">
                      <wp:extent cx="2148840" cy="388620"/>
                      <wp:effectExtent l="0" t="0" r="3810" b="0"/>
                      <wp:docPr id="23" name="Imagen 2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Imagen 6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48840" cy="3886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264" w:type="dxa"/>
                <w:vAlign w:val="center"/>
              </w:tcPr>
              <w:p w14:paraId="6A3B057B" w14:textId="77777777" w:rsidR="00CD1720" w:rsidRPr="00BB1B4A" w:rsidRDefault="00CF7CD5" w:rsidP="00282E9D">
                <w:pPr>
                  <w:jc w:val="center"/>
                  <w:rPr>
                    <w:rFonts w:ascii="Arial Narrow" w:hAnsi="Arial Narrow"/>
                    <w:b/>
                  </w:rPr>
                </w:pPr>
                <w:r w:rsidRPr="00BB1B4A">
                  <w:rPr>
                    <w:rFonts w:ascii="Arial Narrow" w:hAnsi="Arial Narrow"/>
                    <w:b/>
                  </w:rPr>
                  <w:t>SOPORTE TÉCNICO</w:t>
                </w:r>
              </w:p>
            </w:tc>
            <w:tc>
              <w:tcPr>
                <w:tcW w:w="1586" w:type="dxa"/>
                <w:vAlign w:val="center"/>
              </w:tcPr>
              <w:p w14:paraId="754E27C2" w14:textId="77777777" w:rsidR="00CD1720" w:rsidRDefault="00CF7CD5" w:rsidP="00282E9D">
                <w:pPr>
                  <w:pStyle w:val="Encabezado"/>
                  <w:jc w:val="center"/>
                </w:pPr>
                <w:r w:rsidRPr="004161E7">
                  <w:rPr>
                    <w:noProof/>
                    <w:lang w:val="es-CO" w:eastAsia="es-CO"/>
                  </w:rPr>
                  <w:drawing>
                    <wp:inline distT="0" distB="0" distL="0" distR="0" wp14:anchorId="05DD6943" wp14:editId="1A1BE90A">
                      <wp:extent cx="791570" cy="768114"/>
                      <wp:effectExtent l="0" t="0" r="8890" b="0"/>
                      <wp:docPr id="24" name="1 Imag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1 Imagen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56" t="6711" r="6302" b="53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8900" cy="77522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A3B1C50" w14:textId="77777777" w:rsidR="00CD1720" w:rsidRPr="00384075" w:rsidRDefault="009C692B" w:rsidP="009320D2">
          <w:pPr>
            <w:pStyle w:val="Estilo2"/>
            <w:numPr>
              <w:ilvl w:val="0"/>
              <w:numId w:val="0"/>
            </w:numPr>
            <w:ind w:left="360"/>
            <w:jc w:val="right"/>
            <w:rPr>
              <w:rFonts w:ascii="Arial" w:hAnsi="Arial" w:cs="Arial"/>
            </w:rPr>
          </w:pPr>
        </w:p>
      </w:tc>
    </w:tr>
  </w:tbl>
  <w:p w14:paraId="407BE735" w14:textId="77777777" w:rsidR="00CD1720" w:rsidRPr="00874DE8" w:rsidRDefault="009C692B" w:rsidP="00874DE8">
    <w:pPr>
      <w:pStyle w:val="Encabezado"/>
      <w:jc w:val="right"/>
      <w:rPr>
        <w:rFonts w:ascii="Arial Narrow" w:hAnsi="Arial Narrow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E5EDE"/>
    <w:multiLevelType w:val="multilevel"/>
    <w:tmpl w:val="7DD83C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9242FD8"/>
    <w:multiLevelType w:val="hybridMultilevel"/>
    <w:tmpl w:val="8DBAB0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D45CF"/>
    <w:multiLevelType w:val="hybridMultilevel"/>
    <w:tmpl w:val="C2E0C5D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825C96"/>
    <w:multiLevelType w:val="multilevel"/>
    <w:tmpl w:val="0C0A001F"/>
    <w:styleLink w:val="Estilo1"/>
    <w:lvl w:ilvl="0">
      <w:start w:val="1"/>
      <w:numFmt w:val="decimal"/>
      <w:pStyle w:val="Estilo1CarCarCa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Estilo2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pStyle w:val="Estilo3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pStyle w:val="Estilo4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4" w15:restartNumberingAfterBreak="0">
    <w:nsid w:val="65D8653D"/>
    <w:multiLevelType w:val="hybridMultilevel"/>
    <w:tmpl w:val="65362BE8"/>
    <w:lvl w:ilvl="0" w:tplc="2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991"/>
    <w:rsid w:val="00051338"/>
    <w:rsid w:val="00062618"/>
    <w:rsid w:val="00085D6D"/>
    <w:rsid w:val="000B59C2"/>
    <w:rsid w:val="000B72DC"/>
    <w:rsid w:val="000D234C"/>
    <w:rsid w:val="000E066C"/>
    <w:rsid w:val="000E160F"/>
    <w:rsid w:val="000F4F69"/>
    <w:rsid w:val="0019752E"/>
    <w:rsid w:val="001D7769"/>
    <w:rsid w:val="002232A3"/>
    <w:rsid w:val="00263FE5"/>
    <w:rsid w:val="002856B6"/>
    <w:rsid w:val="002B551F"/>
    <w:rsid w:val="002D34F1"/>
    <w:rsid w:val="002E7108"/>
    <w:rsid w:val="003227F8"/>
    <w:rsid w:val="00361F85"/>
    <w:rsid w:val="00390140"/>
    <w:rsid w:val="003D1650"/>
    <w:rsid w:val="003E59D2"/>
    <w:rsid w:val="003E70DB"/>
    <w:rsid w:val="003F2F7B"/>
    <w:rsid w:val="00470781"/>
    <w:rsid w:val="004B72EF"/>
    <w:rsid w:val="005D6289"/>
    <w:rsid w:val="00620D52"/>
    <w:rsid w:val="006B2153"/>
    <w:rsid w:val="006B64EE"/>
    <w:rsid w:val="006D1D5F"/>
    <w:rsid w:val="00721D5F"/>
    <w:rsid w:val="007222E9"/>
    <w:rsid w:val="00742ED8"/>
    <w:rsid w:val="007C7ADA"/>
    <w:rsid w:val="00801C3E"/>
    <w:rsid w:val="00814727"/>
    <w:rsid w:val="00841EDC"/>
    <w:rsid w:val="00844983"/>
    <w:rsid w:val="008A60EE"/>
    <w:rsid w:val="00964FCF"/>
    <w:rsid w:val="00981158"/>
    <w:rsid w:val="009968B6"/>
    <w:rsid w:val="009C692B"/>
    <w:rsid w:val="00B36286"/>
    <w:rsid w:val="00B4227D"/>
    <w:rsid w:val="00BB7AAA"/>
    <w:rsid w:val="00BC3EC1"/>
    <w:rsid w:val="00BC54B0"/>
    <w:rsid w:val="00BF23D4"/>
    <w:rsid w:val="00C06C61"/>
    <w:rsid w:val="00C07683"/>
    <w:rsid w:val="00C32090"/>
    <w:rsid w:val="00C33A29"/>
    <w:rsid w:val="00C40F3D"/>
    <w:rsid w:val="00C931E0"/>
    <w:rsid w:val="00CA1221"/>
    <w:rsid w:val="00CF7CD5"/>
    <w:rsid w:val="00D064C2"/>
    <w:rsid w:val="00D32322"/>
    <w:rsid w:val="00D33991"/>
    <w:rsid w:val="00D56338"/>
    <w:rsid w:val="00DC5DFE"/>
    <w:rsid w:val="00E307A9"/>
    <w:rsid w:val="00E30A0E"/>
    <w:rsid w:val="00E705DA"/>
    <w:rsid w:val="00E8258B"/>
    <w:rsid w:val="00EC1E02"/>
    <w:rsid w:val="00EE5AF5"/>
    <w:rsid w:val="00F46455"/>
    <w:rsid w:val="00F608BE"/>
    <w:rsid w:val="00F71C24"/>
    <w:rsid w:val="00F9012C"/>
    <w:rsid w:val="00F94A74"/>
    <w:rsid w:val="00FA535B"/>
    <w:rsid w:val="00FD2D80"/>
    <w:rsid w:val="00FD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56A4C"/>
  <w15:chartTrackingRefBased/>
  <w15:docId w15:val="{62F812E7-4C02-41DE-9D9E-DB148D94C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99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C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aliases w:val="ALTS FOOTNOTE,Footnote Text Char1,Footnote Text Char Char1,Footnote Text Char4 Char Char,Footnote Text Char1 Char1 Char1 Char,Footnote Text Char Char1 Char1 Char Char,Footnote Text Char1 Char1 Char1 Char Char Char1,DNV-FT"/>
    <w:basedOn w:val="Normal"/>
    <w:link w:val="TextonotapieCar"/>
    <w:uiPriority w:val="99"/>
    <w:qFormat/>
    <w:rsid w:val="00D33991"/>
    <w:rPr>
      <w:rFonts w:eastAsia="Times New Roman"/>
      <w:sz w:val="20"/>
      <w:szCs w:val="20"/>
      <w:lang w:val="x-none" w:eastAsia="es-ES"/>
    </w:rPr>
  </w:style>
  <w:style w:type="character" w:customStyle="1" w:styleId="TextonotapieCar">
    <w:name w:val="Texto nota pie Car"/>
    <w:aliases w:val="ALTS FOOTNOTE Car,Footnote Text Char1 Car,Footnote Text Char Char1 Car,Footnote Text Char4 Char Char Car,Footnote Text Char1 Char1 Char1 Char Car,Footnote Text Char Char1 Char1 Char Char Car,DNV-FT Car"/>
    <w:basedOn w:val="Fuentedeprrafopredeter"/>
    <w:link w:val="Textonotapie"/>
    <w:uiPriority w:val="99"/>
    <w:rsid w:val="00D33991"/>
    <w:rPr>
      <w:rFonts w:ascii="Times New Roman" w:eastAsia="Times New Roman" w:hAnsi="Times New Roman" w:cs="Times New Roman"/>
      <w:sz w:val="20"/>
      <w:szCs w:val="20"/>
      <w:lang w:val="x-none" w:eastAsia="es-ES"/>
    </w:rPr>
  </w:style>
  <w:style w:type="character" w:styleId="Refdenotaalpie">
    <w:name w:val="footnote reference"/>
    <w:aliases w:val="Appel note de bas de p,Footnote Reference/,Ref,de nota al pie"/>
    <w:uiPriority w:val="99"/>
    <w:rsid w:val="00D33991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D339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3991"/>
    <w:rPr>
      <w:sz w:val="20"/>
      <w:szCs w:val="20"/>
      <w:lang w:val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33991"/>
    <w:rPr>
      <w:rFonts w:ascii="Times New Roman" w:eastAsia="Calibri" w:hAnsi="Times New Roman" w:cs="Times New Roman"/>
      <w:sz w:val="20"/>
      <w:szCs w:val="20"/>
      <w:lang w:val="x-none" w:eastAsia="es-CO"/>
    </w:rPr>
  </w:style>
  <w:style w:type="paragraph" w:styleId="Encabezado">
    <w:name w:val="header"/>
    <w:basedOn w:val="Normal"/>
    <w:link w:val="EncabezadoCar"/>
    <w:uiPriority w:val="99"/>
    <w:rsid w:val="00D33991"/>
    <w:pPr>
      <w:tabs>
        <w:tab w:val="center" w:pos="4252"/>
        <w:tab w:val="right" w:pos="8504"/>
      </w:tabs>
    </w:pPr>
    <w:rPr>
      <w:rFonts w:eastAsia="Times New Roman"/>
      <w:lang w:val="x-none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33991"/>
    <w:rPr>
      <w:rFonts w:ascii="Times New Roman" w:eastAsia="Times New Roman" w:hAnsi="Times New Roman" w:cs="Times New Roman"/>
      <w:sz w:val="24"/>
      <w:szCs w:val="24"/>
      <w:lang w:val="x-none" w:eastAsia="es-ES"/>
    </w:rPr>
  </w:style>
  <w:style w:type="numbering" w:customStyle="1" w:styleId="Estilo1">
    <w:name w:val="Estilo1"/>
    <w:basedOn w:val="Sinlista"/>
    <w:rsid w:val="00D33991"/>
    <w:pPr>
      <w:numPr>
        <w:numId w:val="1"/>
      </w:numPr>
    </w:pPr>
  </w:style>
  <w:style w:type="paragraph" w:customStyle="1" w:styleId="Estilo1CarCarCar">
    <w:name w:val="Estilo 1 Car Car Car"/>
    <w:basedOn w:val="Normal"/>
    <w:rsid w:val="00D33991"/>
    <w:pPr>
      <w:numPr>
        <w:numId w:val="1"/>
      </w:numPr>
      <w:jc w:val="both"/>
    </w:pPr>
    <w:rPr>
      <w:rFonts w:ascii="Verdana" w:eastAsia="Times New Roman" w:hAnsi="Verdana"/>
      <w:b/>
      <w:lang w:val="x-none" w:eastAsia="es-ES"/>
    </w:rPr>
  </w:style>
  <w:style w:type="paragraph" w:customStyle="1" w:styleId="Estilo2">
    <w:name w:val="Estilo2"/>
    <w:basedOn w:val="Normal"/>
    <w:rsid w:val="00D33991"/>
    <w:pPr>
      <w:numPr>
        <w:ilvl w:val="1"/>
        <w:numId w:val="1"/>
      </w:numPr>
    </w:pPr>
    <w:rPr>
      <w:rFonts w:ascii="Verdana" w:eastAsia="Times New Roman" w:hAnsi="Verdana"/>
      <w:lang w:val="es-ES" w:eastAsia="es-ES"/>
    </w:rPr>
  </w:style>
  <w:style w:type="paragraph" w:customStyle="1" w:styleId="Estilo3">
    <w:name w:val="Estilo3"/>
    <w:basedOn w:val="Normal"/>
    <w:rsid w:val="00D33991"/>
    <w:pPr>
      <w:numPr>
        <w:ilvl w:val="2"/>
        <w:numId w:val="1"/>
      </w:numPr>
    </w:pPr>
    <w:rPr>
      <w:rFonts w:ascii="Verdana" w:eastAsia="Times New Roman" w:hAnsi="Verdana"/>
      <w:lang w:val="es-ES" w:eastAsia="es-ES"/>
    </w:rPr>
  </w:style>
  <w:style w:type="paragraph" w:customStyle="1" w:styleId="Estilo4">
    <w:name w:val="Estilo4"/>
    <w:basedOn w:val="Continuarlista"/>
    <w:rsid w:val="00D33991"/>
    <w:pPr>
      <w:numPr>
        <w:ilvl w:val="3"/>
        <w:numId w:val="1"/>
      </w:numPr>
      <w:tabs>
        <w:tab w:val="clear" w:pos="2520"/>
        <w:tab w:val="num" w:pos="360"/>
        <w:tab w:val="num" w:pos="1080"/>
        <w:tab w:val="num" w:pos="2880"/>
      </w:tabs>
      <w:spacing w:after="0"/>
      <w:ind w:left="1080" w:hanging="1080"/>
      <w:contextualSpacing w:val="0"/>
      <w:jc w:val="both"/>
    </w:pPr>
    <w:rPr>
      <w:rFonts w:ascii="Verdana" w:eastAsia="Times New Roman" w:hAnsi="Verdana"/>
      <w:sz w:val="22"/>
      <w:szCs w:val="22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D3399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3991"/>
    <w:rPr>
      <w:rFonts w:ascii="Times New Roman" w:eastAsia="Calibri" w:hAnsi="Times New Roman" w:cs="Times New Roman"/>
      <w:sz w:val="24"/>
      <w:szCs w:val="24"/>
      <w:lang w:eastAsia="es-CO"/>
    </w:rPr>
  </w:style>
  <w:style w:type="paragraph" w:styleId="NormalWeb">
    <w:name w:val="Normal (Web)"/>
    <w:basedOn w:val="Normal"/>
    <w:uiPriority w:val="99"/>
    <w:rsid w:val="00D33991"/>
    <w:pPr>
      <w:spacing w:before="100" w:beforeAutospacing="1" w:after="100" w:afterAutospacing="1"/>
    </w:pPr>
    <w:rPr>
      <w:rFonts w:eastAsia="Times New Roman"/>
      <w:lang w:val="es-ES" w:eastAsia="es-ES"/>
    </w:rPr>
  </w:style>
  <w:style w:type="paragraph" w:styleId="Prrafodelista">
    <w:name w:val="List Paragraph"/>
    <w:aliases w:val="Viñetas - bolitas 3er nivel"/>
    <w:basedOn w:val="Normal"/>
    <w:uiPriority w:val="34"/>
    <w:qFormat/>
    <w:rsid w:val="00D33991"/>
    <w:pPr>
      <w:ind w:left="720"/>
      <w:contextualSpacing/>
    </w:pPr>
  </w:style>
  <w:style w:type="table" w:styleId="Tablaconcuadrcula">
    <w:name w:val="Table Grid"/>
    <w:basedOn w:val="Tablanormal"/>
    <w:uiPriority w:val="59"/>
    <w:rsid w:val="00D339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aliases w:val="Epígrafe"/>
    <w:basedOn w:val="Normal"/>
    <w:next w:val="Normal"/>
    <w:uiPriority w:val="35"/>
    <w:unhideWhenUsed/>
    <w:qFormat/>
    <w:rsid w:val="00D33991"/>
    <w:pPr>
      <w:spacing w:before="120"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Continuarlista">
    <w:name w:val="List Continue"/>
    <w:basedOn w:val="Normal"/>
    <w:uiPriority w:val="99"/>
    <w:semiHidden/>
    <w:unhideWhenUsed/>
    <w:rsid w:val="00D33991"/>
    <w:pPr>
      <w:spacing w:after="120"/>
      <w:ind w:left="283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3399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3991"/>
    <w:rPr>
      <w:rFonts w:ascii="Segoe UI" w:eastAsia="Calibri" w:hAnsi="Segoe UI" w:cs="Segoe UI"/>
      <w:sz w:val="18"/>
      <w:szCs w:val="18"/>
      <w:lang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9012C"/>
    <w:rPr>
      <w:b/>
      <w:bCs/>
      <w:lang w:val="es-CO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9012C"/>
    <w:rPr>
      <w:rFonts w:ascii="Times New Roman" w:eastAsia="Calibri" w:hAnsi="Times New Roman" w:cs="Times New Roman"/>
      <w:b/>
      <w:bCs/>
      <w:sz w:val="20"/>
      <w:szCs w:val="20"/>
      <w:lang w:val="x-none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64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8D4F4CA20BD2B4DBCE4A8F9D119DF36" ma:contentTypeVersion="13" ma:contentTypeDescription="Crear nuevo documento." ma:contentTypeScope="" ma:versionID="ec4fde0a448f18b0e7d6468c623684c7">
  <xsd:schema xmlns:xsd="http://www.w3.org/2001/XMLSchema" xmlns:xs="http://www.w3.org/2001/XMLSchema" xmlns:p="http://schemas.microsoft.com/office/2006/metadata/properties" xmlns:ns3="877d80b6-9e48-446a-955d-ae21d5a9782d" xmlns:ns4="a6deaa59-896e-4381-bee1-0d904fb608f0" targetNamespace="http://schemas.microsoft.com/office/2006/metadata/properties" ma:root="true" ma:fieldsID="cbadda525e00052a9a5d8e596e94c738" ns3:_="" ns4:_="">
    <xsd:import namespace="877d80b6-9e48-446a-955d-ae21d5a9782d"/>
    <xsd:import namespace="a6deaa59-896e-4381-bee1-0d904fb608f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7d80b6-9e48-446a-955d-ae21d5a978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eaa59-896e-4381-bee1-0d904fb608f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8362C-F037-4B7B-9078-A82C25EBE9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E81D46-F17B-4847-A43B-6DFC36A558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7d80b6-9e48-446a-955d-ae21d5a9782d"/>
    <ds:schemaRef ds:uri="a6deaa59-896e-4381-bee1-0d904fb608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964E2C-4B33-4A58-AA10-0B7BC8C753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933DCB3-B244-4662-8CCB-669729948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541</Words>
  <Characters>2978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Fernando Gomez Castrillon</dc:creator>
  <cp:keywords/>
  <dc:description/>
  <cp:lastModifiedBy>Juliana Ramírez</cp:lastModifiedBy>
  <cp:revision>21</cp:revision>
  <dcterms:created xsi:type="dcterms:W3CDTF">2020-06-03T00:51:00Z</dcterms:created>
  <dcterms:modified xsi:type="dcterms:W3CDTF">2020-06-04T22:21:00Z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0x01010068D4F4CA20BD2B4DBCE4A8F9D119DF36</vt:lpwstr>
  </property>
</Properties>
</file>