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FEA57" w14:textId="77777777" w:rsidR="00D33991" w:rsidRPr="00077FC7" w:rsidRDefault="00D33991" w:rsidP="00077FC7">
      <w:pPr>
        <w:pStyle w:val="NormalWeb"/>
        <w:spacing w:before="0" w:beforeAutospacing="0" w:after="0" w:afterAutospacing="0" w:line="264" w:lineRule="auto"/>
        <w:rPr>
          <w:rFonts w:ascii="Arial Narrow" w:eastAsia="Batang" w:hAnsi="Arial Narrow" w:cs="Arial"/>
          <w:b/>
          <w:caps/>
          <w:color w:val="000000" w:themeColor="text1"/>
          <w:sz w:val="22"/>
          <w:szCs w:val="22"/>
          <w:lang w:eastAsia="ko-KR"/>
        </w:rPr>
      </w:pPr>
    </w:p>
    <w:p w14:paraId="6BADD21C" w14:textId="257566F2" w:rsidR="00D33991" w:rsidRPr="00077FC7" w:rsidRDefault="009A47C6" w:rsidP="00077FC7">
      <w:pPr>
        <w:pStyle w:val="NormalWeb"/>
        <w:spacing w:before="0" w:beforeAutospacing="0" w:after="0" w:afterAutospacing="0" w:line="264" w:lineRule="auto"/>
        <w:ind w:firstLine="708"/>
        <w:jc w:val="center"/>
        <w:rPr>
          <w:rFonts w:ascii="Arial Narrow" w:eastAsia="Batang" w:hAnsi="Arial Narrow" w:cs="Arial"/>
          <w:b/>
          <w:caps/>
          <w:color w:val="000000" w:themeColor="text1"/>
          <w:sz w:val="22"/>
          <w:szCs w:val="22"/>
          <w:lang w:eastAsia="ko-KR"/>
        </w:rPr>
      </w:pPr>
      <w:r w:rsidRPr="00077FC7">
        <w:rPr>
          <w:rFonts w:ascii="Arial Narrow" w:eastAsia="Batang" w:hAnsi="Arial Narrow" w:cs="Arial"/>
          <w:b/>
          <w:caps/>
          <w:color w:val="000000" w:themeColor="text1"/>
          <w:sz w:val="22"/>
          <w:szCs w:val="22"/>
          <w:lang w:eastAsia="ko-KR"/>
        </w:rPr>
        <w:t>Proyecto de RESOLUCI</w:t>
      </w:r>
      <w:r w:rsidR="007730B6">
        <w:rPr>
          <w:rFonts w:ascii="Arial Narrow" w:eastAsia="Batang" w:hAnsi="Arial Narrow" w:cs="Arial"/>
          <w:b/>
          <w:caps/>
          <w:color w:val="000000" w:themeColor="text1"/>
          <w:sz w:val="22"/>
          <w:szCs w:val="22"/>
          <w:lang w:eastAsia="ko-KR"/>
        </w:rPr>
        <w:t>ón</w:t>
      </w:r>
    </w:p>
    <w:p w14:paraId="06627975" w14:textId="47AFBC3A" w:rsidR="00D33991" w:rsidRPr="00077FC7" w:rsidRDefault="00D33991" w:rsidP="00077FC7">
      <w:pPr>
        <w:spacing w:line="264" w:lineRule="auto"/>
        <w:jc w:val="center"/>
        <w:rPr>
          <w:rFonts w:ascii="Arial Narrow" w:eastAsia="Batang" w:hAnsi="Arial Narrow" w:cs="Arial"/>
          <w:b/>
          <w:i/>
          <w:caps/>
          <w:color w:val="000000" w:themeColor="text1"/>
          <w:sz w:val="22"/>
          <w:szCs w:val="22"/>
          <w:lang w:eastAsia="ko-KR"/>
        </w:rPr>
      </w:pPr>
      <w:bookmarkStart w:id="0" w:name="_Hlk23847835"/>
    </w:p>
    <w:p w14:paraId="3BD4C826" w14:textId="09E42462" w:rsidR="009A47C6" w:rsidRPr="00077FC7" w:rsidRDefault="009A47C6" w:rsidP="00077FC7">
      <w:pPr>
        <w:spacing w:line="264" w:lineRule="auto"/>
        <w:jc w:val="center"/>
        <w:rPr>
          <w:rFonts w:ascii="Arial Narrow" w:hAnsi="Arial Narrow" w:cs="Arial"/>
          <w:i/>
          <w:sz w:val="22"/>
          <w:szCs w:val="22"/>
        </w:rPr>
      </w:pPr>
      <w:r w:rsidRPr="00077FC7">
        <w:rPr>
          <w:rFonts w:ascii="Arial Narrow" w:hAnsi="Arial Narrow" w:cs="Arial"/>
          <w:i/>
          <w:sz w:val="22"/>
          <w:szCs w:val="22"/>
        </w:rPr>
        <w:t>“Por la cual se actualiza el valor del componente variable de la concesión y el valor de la compensación para los operadores de televisión por suscripción establecido en la Resolución ANTV 1813 de 2017</w:t>
      </w:r>
      <w:r w:rsidRPr="00077FC7">
        <w:rPr>
          <w:rFonts w:ascii="Arial Narrow" w:hAnsi="Arial Narrow" w:cs="Arial"/>
          <w:b/>
          <w:i/>
          <w:sz w:val="22"/>
          <w:szCs w:val="22"/>
        </w:rPr>
        <w:t>,</w:t>
      </w:r>
      <w:r w:rsidRPr="00077FC7">
        <w:rPr>
          <w:rFonts w:ascii="Arial Narrow" w:hAnsi="Arial Narrow" w:cs="Arial"/>
          <w:bCs/>
          <w:i/>
          <w:sz w:val="22"/>
          <w:szCs w:val="22"/>
        </w:rPr>
        <w:t xml:space="preserve"> para el año 2020</w:t>
      </w:r>
      <w:r w:rsidRPr="00077FC7">
        <w:rPr>
          <w:rFonts w:ascii="Arial Narrow" w:hAnsi="Arial Narrow" w:cs="Arial"/>
          <w:i/>
          <w:sz w:val="22"/>
          <w:szCs w:val="22"/>
        </w:rPr>
        <w:t>”</w:t>
      </w:r>
    </w:p>
    <w:bookmarkEnd w:id="0"/>
    <w:p w14:paraId="3045A9C2" w14:textId="77777777" w:rsidR="00D33991" w:rsidRPr="00077FC7" w:rsidRDefault="00D33991" w:rsidP="00077FC7">
      <w:pPr>
        <w:spacing w:line="264" w:lineRule="auto"/>
        <w:jc w:val="both"/>
        <w:rPr>
          <w:rFonts w:ascii="Arial Narrow" w:hAnsi="Arial Narrow" w:cs="Arial"/>
          <w:b/>
          <w:color w:val="000000" w:themeColor="text1"/>
          <w:sz w:val="22"/>
          <w:szCs w:val="22"/>
        </w:rPr>
      </w:pPr>
    </w:p>
    <w:p w14:paraId="7B8E4865" w14:textId="40F7D370" w:rsidR="00D33991" w:rsidRPr="00077FC7" w:rsidRDefault="00D33991" w:rsidP="00077FC7">
      <w:pPr>
        <w:spacing w:line="264" w:lineRule="auto"/>
        <w:jc w:val="right"/>
        <w:rPr>
          <w:rFonts w:ascii="Arial Narrow" w:hAnsi="Arial Narrow" w:cs="Arial"/>
          <w:b/>
          <w:color w:val="000000" w:themeColor="text1"/>
          <w:sz w:val="22"/>
          <w:szCs w:val="22"/>
        </w:rPr>
      </w:pPr>
      <w:r w:rsidRPr="00077FC7">
        <w:rPr>
          <w:rFonts w:ascii="Arial Narrow" w:hAnsi="Arial Narrow" w:cs="Arial"/>
          <w:b/>
          <w:color w:val="000000" w:themeColor="text1"/>
          <w:sz w:val="22"/>
          <w:szCs w:val="22"/>
        </w:rPr>
        <w:t xml:space="preserve">Bogotá D.C., </w:t>
      </w:r>
      <w:r w:rsidR="009968B6" w:rsidRPr="00077FC7">
        <w:rPr>
          <w:rFonts w:ascii="Arial Narrow" w:hAnsi="Arial Narrow" w:cs="Arial"/>
          <w:b/>
          <w:color w:val="000000" w:themeColor="text1"/>
          <w:sz w:val="22"/>
          <w:szCs w:val="22"/>
        </w:rPr>
        <w:t>junio</w:t>
      </w:r>
      <w:r w:rsidR="003E70DB" w:rsidRPr="00077FC7">
        <w:rPr>
          <w:rFonts w:ascii="Arial Narrow" w:hAnsi="Arial Narrow" w:cs="Arial"/>
          <w:b/>
          <w:color w:val="000000" w:themeColor="text1"/>
          <w:sz w:val="22"/>
          <w:szCs w:val="22"/>
        </w:rPr>
        <w:t xml:space="preserve"> de 2020</w:t>
      </w:r>
    </w:p>
    <w:p w14:paraId="7E7735F7" w14:textId="77777777" w:rsidR="00C931E0" w:rsidRPr="00077FC7" w:rsidRDefault="00C931E0" w:rsidP="00077FC7">
      <w:pPr>
        <w:spacing w:line="264" w:lineRule="auto"/>
        <w:jc w:val="right"/>
        <w:rPr>
          <w:rFonts w:ascii="Arial Narrow" w:hAnsi="Arial Narrow" w:cs="Arial"/>
          <w:b/>
          <w:color w:val="000000" w:themeColor="text1"/>
          <w:sz w:val="22"/>
          <w:szCs w:val="22"/>
        </w:rPr>
      </w:pPr>
    </w:p>
    <w:p w14:paraId="684EF98E" w14:textId="77777777" w:rsidR="00D33991" w:rsidRPr="00077FC7" w:rsidRDefault="00D33991" w:rsidP="00077FC7">
      <w:pPr>
        <w:spacing w:line="264" w:lineRule="auto"/>
        <w:jc w:val="both"/>
        <w:rPr>
          <w:rFonts w:ascii="Arial Narrow" w:hAnsi="Arial Narrow" w:cs="Arial"/>
          <w:b/>
          <w:color w:val="000000" w:themeColor="text1"/>
          <w:sz w:val="22"/>
          <w:szCs w:val="22"/>
        </w:rPr>
      </w:pPr>
    </w:p>
    <w:p w14:paraId="38C8B1ED" w14:textId="77777777" w:rsidR="00D33991" w:rsidRPr="00077FC7" w:rsidRDefault="00D33991" w:rsidP="00077FC7">
      <w:pPr>
        <w:spacing w:line="264" w:lineRule="auto"/>
        <w:ind w:left="705" w:hanging="705"/>
        <w:jc w:val="both"/>
        <w:rPr>
          <w:rFonts w:ascii="Arial Narrow" w:hAnsi="Arial Narrow" w:cs="Arial"/>
          <w:b/>
          <w:color w:val="000000" w:themeColor="text1"/>
          <w:sz w:val="22"/>
          <w:szCs w:val="22"/>
          <w:lang w:val="es-ES_tradnl"/>
        </w:rPr>
      </w:pPr>
      <w:r w:rsidRPr="00077FC7">
        <w:rPr>
          <w:rFonts w:ascii="Arial Narrow" w:hAnsi="Arial Narrow" w:cs="Arial"/>
          <w:b/>
          <w:color w:val="000000" w:themeColor="text1"/>
          <w:sz w:val="22"/>
          <w:szCs w:val="22"/>
          <w:lang w:val="es-ES_tradnl"/>
        </w:rPr>
        <w:t>1.</w:t>
      </w:r>
      <w:r w:rsidRPr="00077FC7">
        <w:rPr>
          <w:rFonts w:ascii="Arial Narrow" w:hAnsi="Arial Narrow" w:cs="Arial"/>
          <w:b/>
          <w:color w:val="000000" w:themeColor="text1"/>
          <w:sz w:val="22"/>
          <w:szCs w:val="22"/>
          <w:lang w:val="es-ES_tradnl"/>
        </w:rPr>
        <w:tab/>
        <w:t>Antecedentes y las razones de oportunidad y conveniencia que justifican la expedición de la norma</w:t>
      </w:r>
    </w:p>
    <w:p w14:paraId="065E95D0" w14:textId="4B40F55A" w:rsidR="00D33991" w:rsidRPr="00077FC7" w:rsidRDefault="00D33991" w:rsidP="00077FC7">
      <w:pPr>
        <w:spacing w:line="264" w:lineRule="auto"/>
        <w:jc w:val="both"/>
        <w:rPr>
          <w:rFonts w:ascii="Arial Narrow" w:hAnsi="Arial Narrow" w:cs="Arial"/>
          <w:color w:val="000000" w:themeColor="text1"/>
          <w:sz w:val="22"/>
          <w:szCs w:val="22"/>
        </w:rPr>
      </w:pPr>
    </w:p>
    <w:p w14:paraId="435B4432" w14:textId="3FA8E30C" w:rsidR="00337A47" w:rsidRPr="00077FC7" w:rsidRDefault="00931330" w:rsidP="00077FC7">
      <w:pPr>
        <w:spacing w:line="264" w:lineRule="auto"/>
        <w:ind w:left="-142"/>
        <w:jc w:val="both"/>
        <w:outlineLvl w:val="0"/>
        <w:rPr>
          <w:rFonts w:ascii="Arial Narrow" w:hAnsi="Arial Narrow" w:cs="Arial"/>
          <w:sz w:val="22"/>
          <w:szCs w:val="22"/>
          <w:lang w:val="es-ES"/>
        </w:rPr>
      </w:pPr>
      <w:r w:rsidRPr="00077FC7">
        <w:rPr>
          <w:rFonts w:ascii="Arial Narrow" w:hAnsi="Arial Narrow" w:cs="Arial"/>
          <w:sz w:val="22"/>
          <w:szCs w:val="22"/>
          <w:lang w:val="es-ES"/>
        </w:rPr>
        <w:t xml:space="preserve">Los artículos 39 y 43 de La Ley 1978 del 25 de julio de 2019, dispusieron la supresión y liquidación de la Autoridad Nacional de Televisión, así como la sustitución de la posición contractual, judicial y administrativa por parte del Ministerio de Tecnologías de la Información y las Comunicaciones. Adicionalmente, la citada Ley </w:t>
      </w:r>
      <w:r w:rsidR="00337A47" w:rsidRPr="00077FC7">
        <w:rPr>
          <w:rFonts w:ascii="Arial Narrow" w:hAnsi="Arial Narrow" w:cs="Arial"/>
          <w:sz w:val="22"/>
          <w:szCs w:val="22"/>
          <w:lang w:val="es-ES"/>
        </w:rPr>
        <w:t xml:space="preserve">en su </w:t>
      </w:r>
      <w:r w:rsidR="00337A47" w:rsidRPr="00077FC7">
        <w:rPr>
          <w:rFonts w:ascii="Arial Narrow" w:hAnsi="Arial Narrow" w:cs="Arial"/>
          <w:sz w:val="22"/>
          <w:szCs w:val="22"/>
        </w:rPr>
        <w:t>artículo 14, modificó el artículo 18 de la Ley 1341 de 2009 estableciendo que es función del Ministerio de Tecnologías de la Informa</w:t>
      </w:r>
      <w:r w:rsidR="004A1748" w:rsidRPr="00077FC7">
        <w:rPr>
          <w:rFonts w:ascii="Arial Narrow" w:hAnsi="Arial Narrow" w:cs="Arial"/>
          <w:sz w:val="22"/>
          <w:szCs w:val="22"/>
        </w:rPr>
        <w:t>ción y las Comunicaciones “Fijar</w:t>
      </w:r>
      <w:r w:rsidR="00337A47" w:rsidRPr="00077FC7">
        <w:rPr>
          <w:rFonts w:ascii="Arial Narrow" w:hAnsi="Arial Narrow" w:cs="Arial"/>
          <w:sz w:val="22"/>
          <w:szCs w:val="22"/>
        </w:rPr>
        <w:t xml:space="preserve"> las tarifas, tasas y derechos, asociados a la concesión, a que se refiere la Ley 182 de 1995”</w:t>
      </w:r>
    </w:p>
    <w:p w14:paraId="1F53F7DA" w14:textId="77777777" w:rsidR="00337A47" w:rsidRPr="00077FC7" w:rsidRDefault="00337A47" w:rsidP="00077FC7">
      <w:pPr>
        <w:spacing w:line="264" w:lineRule="auto"/>
        <w:ind w:left="-142"/>
        <w:outlineLvl w:val="0"/>
        <w:rPr>
          <w:rFonts w:ascii="Arial Narrow" w:hAnsi="Arial Narrow" w:cs="Arial"/>
          <w:sz w:val="22"/>
          <w:szCs w:val="22"/>
        </w:rPr>
      </w:pPr>
    </w:p>
    <w:p w14:paraId="4503A36C" w14:textId="35CFF839" w:rsidR="00795957" w:rsidRPr="00077FC7" w:rsidRDefault="0093197C" w:rsidP="00077FC7">
      <w:pPr>
        <w:spacing w:line="264" w:lineRule="auto"/>
        <w:ind w:left="-142"/>
        <w:jc w:val="both"/>
        <w:outlineLvl w:val="0"/>
        <w:rPr>
          <w:rFonts w:ascii="Arial Narrow" w:hAnsi="Arial Narrow" w:cs="Arial"/>
          <w:sz w:val="22"/>
          <w:szCs w:val="22"/>
        </w:rPr>
      </w:pPr>
      <w:r w:rsidRPr="00077FC7">
        <w:rPr>
          <w:rFonts w:ascii="Arial Narrow" w:hAnsi="Arial Narrow" w:cs="Arial"/>
          <w:sz w:val="22"/>
          <w:szCs w:val="22"/>
        </w:rPr>
        <w:t xml:space="preserve">El 26 de octubre de 2017 la ANTV </w:t>
      </w:r>
      <w:r w:rsidR="007730B6">
        <w:rPr>
          <w:rFonts w:ascii="Arial Narrow" w:hAnsi="Arial Narrow" w:cs="Arial"/>
          <w:sz w:val="22"/>
          <w:szCs w:val="22"/>
        </w:rPr>
        <w:t xml:space="preserve">(hoy </w:t>
      </w:r>
      <w:r w:rsidRPr="00077FC7">
        <w:rPr>
          <w:rFonts w:ascii="Arial Narrow" w:hAnsi="Arial Narrow" w:cs="Arial"/>
          <w:sz w:val="22"/>
          <w:szCs w:val="22"/>
        </w:rPr>
        <w:t>en liquidación</w:t>
      </w:r>
      <w:r w:rsidR="007730B6">
        <w:rPr>
          <w:rFonts w:ascii="Arial Narrow" w:hAnsi="Arial Narrow" w:cs="Arial"/>
          <w:sz w:val="22"/>
          <w:szCs w:val="22"/>
        </w:rPr>
        <w:t>)</w:t>
      </w:r>
      <w:r w:rsidRPr="00077FC7">
        <w:rPr>
          <w:rFonts w:ascii="Arial Narrow" w:hAnsi="Arial Narrow" w:cs="Arial"/>
          <w:sz w:val="22"/>
          <w:szCs w:val="22"/>
        </w:rPr>
        <w:t>, expidió la Resolución 1813 “</w:t>
      </w:r>
      <w:r w:rsidRPr="00077FC7">
        <w:rPr>
          <w:rFonts w:ascii="Arial Narrow" w:hAnsi="Arial Narrow" w:cs="Arial"/>
          <w:i/>
          <w:sz w:val="22"/>
          <w:szCs w:val="22"/>
        </w:rPr>
        <w:t>Por medio de la cual se fijan las contraprestaciones para el servicio de televisión por suscripción y se dictan otras disposiciones</w:t>
      </w:r>
      <w:r w:rsidRPr="00077FC7">
        <w:rPr>
          <w:rFonts w:ascii="Arial Narrow" w:hAnsi="Arial Narrow" w:cs="Arial"/>
          <w:sz w:val="22"/>
          <w:szCs w:val="22"/>
        </w:rPr>
        <w:t>”. Los artículos 2 y 3 ibídem establecen el valor de la tarifa del componente variable de la concesión y el valor de la tarifa por concepto de compensación</w:t>
      </w:r>
      <w:r w:rsidR="00E72108" w:rsidRPr="00077FC7">
        <w:rPr>
          <w:rFonts w:ascii="Arial Narrow" w:hAnsi="Arial Narrow" w:cs="Arial"/>
          <w:sz w:val="22"/>
          <w:szCs w:val="22"/>
        </w:rPr>
        <w:t>.</w:t>
      </w:r>
    </w:p>
    <w:p w14:paraId="41857AAB" w14:textId="77777777" w:rsidR="00795957" w:rsidRPr="00077FC7" w:rsidRDefault="00795957" w:rsidP="00077FC7">
      <w:pPr>
        <w:spacing w:line="264" w:lineRule="auto"/>
        <w:ind w:left="-142"/>
        <w:jc w:val="both"/>
        <w:outlineLvl w:val="0"/>
        <w:rPr>
          <w:rFonts w:ascii="Arial Narrow" w:hAnsi="Arial Narrow" w:cs="Arial"/>
          <w:sz w:val="22"/>
          <w:szCs w:val="22"/>
        </w:rPr>
      </w:pPr>
    </w:p>
    <w:p w14:paraId="48436156" w14:textId="37A1494A" w:rsidR="0093197C" w:rsidRPr="00077FC7" w:rsidRDefault="0093197C" w:rsidP="00077FC7">
      <w:pPr>
        <w:spacing w:line="264" w:lineRule="auto"/>
        <w:ind w:left="-142"/>
        <w:jc w:val="both"/>
        <w:outlineLvl w:val="0"/>
        <w:rPr>
          <w:rFonts w:ascii="Arial Narrow" w:hAnsi="Arial Narrow" w:cs="Arial"/>
          <w:sz w:val="22"/>
          <w:szCs w:val="22"/>
        </w:rPr>
      </w:pPr>
      <w:r w:rsidRPr="00077FC7">
        <w:rPr>
          <w:rFonts w:ascii="Arial Narrow" w:hAnsi="Arial Narrow" w:cs="Arial"/>
          <w:sz w:val="22"/>
          <w:szCs w:val="22"/>
        </w:rPr>
        <w:t>El artículo 4 de la Resolución ANTV 1813 de 2017 establece que los valores absolutos determinados por concepto de compensación se actualizarán de acuerdo con la variación porcentual del índice de precios al consumidor del año anterior como se indica a continuación:</w:t>
      </w:r>
    </w:p>
    <w:p w14:paraId="5BFA0E29" w14:textId="77777777" w:rsidR="0093197C" w:rsidRPr="00077FC7" w:rsidRDefault="0093197C" w:rsidP="00077FC7">
      <w:pPr>
        <w:spacing w:line="264" w:lineRule="auto"/>
        <w:jc w:val="both"/>
        <w:outlineLvl w:val="0"/>
        <w:rPr>
          <w:rFonts w:ascii="Arial Narrow" w:hAnsi="Arial Narrow" w:cs="Arial"/>
          <w:sz w:val="22"/>
          <w:szCs w:val="22"/>
        </w:rPr>
      </w:pPr>
    </w:p>
    <w:p w14:paraId="22FE26A5" w14:textId="77777777" w:rsidR="0093197C" w:rsidRPr="00077FC7" w:rsidRDefault="0093197C" w:rsidP="00077FC7">
      <w:pPr>
        <w:spacing w:line="264" w:lineRule="auto"/>
        <w:contextualSpacing/>
        <w:jc w:val="both"/>
        <w:rPr>
          <w:rFonts w:ascii="Arial Narrow" w:hAnsi="Arial Narrow" w:cs="Tahoma"/>
          <w:sz w:val="22"/>
          <w:szCs w:val="22"/>
          <w:u w:val="single"/>
        </w:rPr>
      </w:pPr>
      <w:r w:rsidRPr="00077FC7">
        <w:rPr>
          <w:rFonts w:ascii="Arial Narrow" w:hAnsi="Arial Narrow" w:cs="Tahoma"/>
          <w:sz w:val="22"/>
          <w:szCs w:val="22"/>
          <w:u w:val="single"/>
        </w:rPr>
        <w:t xml:space="preserve">Actualización de la Tarifa de </w:t>
      </w:r>
      <w:r w:rsidRPr="00077FC7">
        <w:rPr>
          <w:rFonts w:ascii="Arial Narrow" w:hAnsi="Arial Narrow" w:cs="Tahoma"/>
          <w:b/>
          <w:sz w:val="22"/>
          <w:szCs w:val="22"/>
          <w:u w:val="single"/>
        </w:rPr>
        <w:t>COMPENSACIÓN</w:t>
      </w:r>
      <w:r w:rsidRPr="00077FC7">
        <w:rPr>
          <w:rFonts w:ascii="Arial Narrow" w:hAnsi="Arial Narrow" w:cs="Tahoma"/>
          <w:sz w:val="22"/>
          <w:szCs w:val="22"/>
          <w:u w:val="single"/>
        </w:rPr>
        <w:t xml:space="preserve"> para municipios con más de 100.000 habitantes:</w:t>
      </w:r>
    </w:p>
    <w:p w14:paraId="0B1D4310" w14:textId="77777777" w:rsidR="0093197C" w:rsidRPr="00077FC7" w:rsidRDefault="0093197C" w:rsidP="00077FC7">
      <w:pPr>
        <w:spacing w:line="264" w:lineRule="auto"/>
        <w:contextualSpacing/>
        <w:jc w:val="both"/>
        <w:rPr>
          <w:rFonts w:ascii="Arial Narrow" w:hAnsi="Arial Narrow" w:cs="Tahoma"/>
          <w:sz w:val="22"/>
          <w:szCs w:val="22"/>
          <w:u w:val="single"/>
        </w:rPr>
      </w:pPr>
    </w:p>
    <w:p w14:paraId="7CA27C59" w14:textId="77777777" w:rsidR="0093197C" w:rsidRPr="00077FC7" w:rsidRDefault="00B46E96" w:rsidP="00077FC7">
      <w:pPr>
        <w:spacing w:line="264" w:lineRule="auto"/>
        <w:ind w:right="-2"/>
        <w:jc w:val="both"/>
        <w:rPr>
          <w:rFonts w:ascii="Arial Narrow" w:hAnsi="Arial Narrow" w:cs="Tahoma"/>
          <w:sz w:val="22"/>
          <w:szCs w:val="22"/>
        </w:rPr>
      </w:pPr>
      <m:oMathPara>
        <m:oMath>
          <m:sSub>
            <m:sSubPr>
              <m:ctrlPr>
                <w:rPr>
                  <w:rFonts w:ascii="Cambria Math" w:hAnsi="Cambria Math" w:cs="Tahoma"/>
                  <w:sz w:val="22"/>
                  <w:szCs w:val="22"/>
                </w:rPr>
              </m:ctrlPr>
            </m:sSubPr>
            <m:e>
              <m:r>
                <m:rPr>
                  <m:sty m:val="p"/>
                </m:rPr>
                <w:rPr>
                  <w:rFonts w:ascii="Cambria Math" w:hAnsi="Cambria Math" w:cs="Tahoma"/>
                  <w:sz w:val="22"/>
                  <w:szCs w:val="22"/>
                </w:rPr>
                <m:t>TCpRG</m:t>
              </m:r>
            </m:e>
            <m:sub>
              <m:r>
                <m:rPr>
                  <m:sty m:val="p"/>
                </m:rPr>
                <w:rPr>
                  <w:rFonts w:ascii="Cambria Math" w:hAnsi="Cambria Math" w:cs="Tahoma"/>
                  <w:sz w:val="22"/>
                  <w:szCs w:val="22"/>
                </w:rPr>
                <m:t>j</m:t>
              </m:r>
            </m:sub>
          </m:sSub>
          <m:r>
            <m:rPr>
              <m:sty m:val="p"/>
            </m:rPr>
            <w:rPr>
              <w:rFonts w:ascii="Cambria Math" w:hAnsi="Cambria Math" w:cs="Tahoma"/>
              <w:sz w:val="22"/>
              <w:szCs w:val="22"/>
            </w:rPr>
            <m:t xml:space="preserve">=1.462× </m:t>
          </m:r>
          <m:f>
            <m:fPr>
              <m:ctrlPr>
                <w:rPr>
                  <w:rFonts w:ascii="Cambria Math" w:hAnsi="Cambria Math" w:cs="Tahoma"/>
                  <w:sz w:val="22"/>
                  <w:szCs w:val="22"/>
                </w:rPr>
              </m:ctrlPr>
            </m:fPr>
            <m:num>
              <m:r>
                <m:rPr>
                  <m:sty m:val="p"/>
                </m:rPr>
                <w:rPr>
                  <w:rFonts w:ascii="Cambria Math" w:hAnsi="Cambria Math" w:cs="Tahoma"/>
                  <w:sz w:val="22"/>
                  <w:szCs w:val="22"/>
                </w:rPr>
                <m:t xml:space="preserve"> </m:t>
              </m:r>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j-1</m:t>
                  </m:r>
                </m:sub>
              </m:sSub>
            </m:num>
            <m:den>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2016</m:t>
                  </m:r>
                </m:sub>
              </m:sSub>
            </m:den>
          </m:f>
          <m:r>
            <m:rPr>
              <m:sty m:val="p"/>
            </m:rPr>
            <w:rPr>
              <w:rFonts w:ascii="Cambria Math" w:hAnsi="Cambria Math" w:cs="Tahoma"/>
              <w:sz w:val="22"/>
              <w:szCs w:val="22"/>
            </w:rPr>
            <m:t xml:space="preserve"> </m:t>
          </m:r>
        </m:oMath>
      </m:oMathPara>
    </w:p>
    <w:p w14:paraId="008963BD" w14:textId="77777777" w:rsidR="0093197C" w:rsidRPr="00077FC7" w:rsidRDefault="0093197C" w:rsidP="00077FC7">
      <w:pPr>
        <w:spacing w:line="264" w:lineRule="auto"/>
        <w:ind w:left="-142"/>
        <w:jc w:val="both"/>
        <w:outlineLvl w:val="0"/>
        <w:rPr>
          <w:rFonts w:ascii="Arial Narrow" w:hAnsi="Arial Narrow" w:cs="Arial"/>
          <w:sz w:val="22"/>
          <w:szCs w:val="22"/>
        </w:rPr>
      </w:pPr>
    </w:p>
    <w:p w14:paraId="31C3F173" w14:textId="77777777" w:rsidR="0093197C" w:rsidRPr="00077FC7" w:rsidRDefault="0093197C" w:rsidP="00077FC7">
      <w:pPr>
        <w:spacing w:line="264" w:lineRule="auto"/>
        <w:jc w:val="both"/>
        <w:outlineLvl w:val="0"/>
        <w:rPr>
          <w:rFonts w:ascii="Arial Narrow" w:hAnsi="Arial Narrow" w:cs="Arial"/>
          <w:sz w:val="22"/>
          <w:szCs w:val="22"/>
        </w:rPr>
      </w:pPr>
      <w:r w:rsidRPr="00077FC7">
        <w:rPr>
          <w:rFonts w:ascii="Arial Narrow" w:hAnsi="Arial Narrow" w:cs="Arial"/>
          <w:sz w:val="22"/>
          <w:szCs w:val="22"/>
        </w:rPr>
        <w:t>Donde</w:t>
      </w:r>
    </w:p>
    <w:p w14:paraId="45128D90" w14:textId="77777777" w:rsidR="0093197C" w:rsidRPr="00077FC7" w:rsidRDefault="0093197C" w:rsidP="00077FC7">
      <w:pPr>
        <w:spacing w:line="264" w:lineRule="auto"/>
        <w:jc w:val="both"/>
        <w:outlineLvl w:val="0"/>
        <w:rPr>
          <w:rFonts w:ascii="Arial Narrow" w:hAnsi="Arial Narrow" w:cs="Arial"/>
          <w:sz w:val="22"/>
          <w:szCs w:val="22"/>
        </w:rPr>
      </w:pPr>
    </w:p>
    <w:p w14:paraId="73CDA8E9" w14:textId="77777777" w:rsidR="0093197C" w:rsidRPr="00077FC7" w:rsidRDefault="0093197C" w:rsidP="00077FC7">
      <w:pPr>
        <w:spacing w:line="264" w:lineRule="auto"/>
        <w:jc w:val="both"/>
        <w:outlineLvl w:val="0"/>
        <w:rPr>
          <w:rFonts w:ascii="Arial Narrow" w:hAnsi="Arial Narrow" w:cs="Arial"/>
          <w:sz w:val="22"/>
          <w:szCs w:val="22"/>
        </w:rPr>
      </w:pPr>
      <w:proofErr w:type="spellStart"/>
      <w:r w:rsidRPr="00077FC7">
        <w:rPr>
          <w:rFonts w:ascii="Arial Narrow" w:hAnsi="Arial Narrow" w:cs="Arial"/>
          <w:sz w:val="22"/>
          <w:szCs w:val="22"/>
        </w:rPr>
        <w:t>TCpRGj</w:t>
      </w:r>
      <w:proofErr w:type="spellEnd"/>
      <w:r w:rsidRPr="00077FC7">
        <w:rPr>
          <w:rFonts w:ascii="Arial Narrow" w:hAnsi="Arial Narrow" w:cs="Arial"/>
          <w:sz w:val="22"/>
          <w:szCs w:val="22"/>
        </w:rPr>
        <w:t xml:space="preserve">: Valor mensual reducido de compensación en el año j </w:t>
      </w:r>
      <w:r w:rsidRPr="00077FC7">
        <w:rPr>
          <w:rFonts w:ascii="Arial Narrow" w:hAnsi="Arial Narrow" w:cs="Arial"/>
          <w:noProof/>
          <w:sz w:val="22"/>
          <w:szCs w:val="22"/>
          <w:lang w:val="es-ES"/>
        </w:rPr>
        <w:t>aplicable en municipios con población mayor a 100.000 habitantes</w:t>
      </w:r>
      <w:r w:rsidRPr="00077FC7">
        <w:rPr>
          <w:rFonts w:ascii="Arial Narrow" w:hAnsi="Arial Narrow" w:cs="Arial"/>
          <w:sz w:val="22"/>
          <w:szCs w:val="22"/>
        </w:rPr>
        <w:t xml:space="preserve">, aplicable desde 2019 en adelante </w:t>
      </w:r>
    </w:p>
    <w:p w14:paraId="33D5E1D7"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IPCj -1: Índice de precios al consumidor a diciembre 31 del año j-1</w:t>
      </w:r>
    </w:p>
    <w:p w14:paraId="2F45BDDD"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IPC2016: Índice de precios al consumidor a diciembre 31 de 2016.</w:t>
      </w:r>
    </w:p>
    <w:p w14:paraId="21918913"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674463CF"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45B5E819"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6E95D022" w14:textId="77777777" w:rsidR="0093197C" w:rsidRPr="00077FC7" w:rsidRDefault="0093197C" w:rsidP="00077FC7">
      <w:pPr>
        <w:spacing w:line="264" w:lineRule="auto"/>
        <w:contextualSpacing/>
        <w:jc w:val="both"/>
        <w:rPr>
          <w:rFonts w:ascii="Arial Narrow" w:hAnsi="Arial Narrow" w:cs="Tahoma"/>
          <w:sz w:val="22"/>
          <w:szCs w:val="22"/>
          <w:u w:val="single"/>
        </w:rPr>
      </w:pPr>
      <w:r w:rsidRPr="00077FC7">
        <w:rPr>
          <w:rFonts w:ascii="Arial Narrow" w:hAnsi="Arial Narrow" w:cs="Tahoma"/>
          <w:sz w:val="22"/>
          <w:szCs w:val="22"/>
          <w:u w:val="single"/>
        </w:rPr>
        <w:t xml:space="preserve">Actualización de la Tarifa de </w:t>
      </w:r>
      <w:r w:rsidRPr="00077FC7">
        <w:rPr>
          <w:rFonts w:ascii="Arial Narrow" w:hAnsi="Arial Narrow" w:cs="Tahoma"/>
          <w:b/>
          <w:sz w:val="22"/>
          <w:szCs w:val="22"/>
          <w:u w:val="single"/>
        </w:rPr>
        <w:t>COMPENSACIÓN</w:t>
      </w:r>
      <w:r w:rsidRPr="00077FC7">
        <w:rPr>
          <w:rFonts w:ascii="Arial Narrow" w:hAnsi="Arial Narrow" w:cs="Tahoma"/>
          <w:sz w:val="22"/>
          <w:szCs w:val="22"/>
          <w:u w:val="single"/>
        </w:rPr>
        <w:t xml:space="preserve"> para municipios con población menor o igual a 100.000 habitantes:</w:t>
      </w:r>
    </w:p>
    <w:p w14:paraId="045EAC61" w14:textId="77777777" w:rsidR="0093197C" w:rsidRPr="00077FC7" w:rsidRDefault="0093197C" w:rsidP="00077FC7">
      <w:pPr>
        <w:spacing w:line="264" w:lineRule="auto"/>
        <w:contextualSpacing/>
        <w:jc w:val="both"/>
        <w:rPr>
          <w:rFonts w:ascii="Arial Narrow" w:hAnsi="Arial Narrow" w:cs="Tahoma"/>
          <w:sz w:val="22"/>
          <w:szCs w:val="22"/>
          <w:u w:val="single"/>
        </w:rPr>
      </w:pPr>
    </w:p>
    <w:p w14:paraId="3F07BAD0" w14:textId="77777777" w:rsidR="0093197C" w:rsidRPr="00077FC7" w:rsidRDefault="00B46E96" w:rsidP="00077FC7">
      <w:pPr>
        <w:spacing w:line="264" w:lineRule="auto"/>
        <w:ind w:right="-2"/>
        <w:jc w:val="both"/>
        <w:rPr>
          <w:rFonts w:ascii="Arial Narrow" w:hAnsi="Arial Narrow" w:cs="Tahoma"/>
          <w:sz w:val="22"/>
          <w:szCs w:val="22"/>
        </w:rPr>
      </w:pPr>
      <m:oMathPara>
        <m:oMath>
          <m:sSub>
            <m:sSubPr>
              <m:ctrlPr>
                <w:rPr>
                  <w:rFonts w:ascii="Cambria Math" w:hAnsi="Cambria Math" w:cs="Tahoma"/>
                  <w:sz w:val="22"/>
                  <w:szCs w:val="22"/>
                </w:rPr>
              </m:ctrlPr>
            </m:sSubPr>
            <m:e>
              <m:r>
                <m:rPr>
                  <m:sty m:val="p"/>
                </m:rPr>
                <w:rPr>
                  <w:rFonts w:ascii="Cambria Math" w:hAnsi="Cambria Math" w:cs="Tahoma"/>
                  <w:sz w:val="22"/>
                  <w:szCs w:val="22"/>
                </w:rPr>
                <m:t>TCpRP</m:t>
              </m:r>
            </m:e>
            <m:sub>
              <m:r>
                <w:rPr>
                  <w:rFonts w:ascii="Cambria Math" w:hAnsi="Cambria Math" w:cs="Tahoma"/>
                  <w:sz w:val="22"/>
                  <w:szCs w:val="22"/>
                </w:rPr>
                <m:t>j</m:t>
              </m:r>
            </m:sub>
          </m:sSub>
          <m:r>
            <m:rPr>
              <m:sty m:val="p"/>
            </m:rPr>
            <w:rPr>
              <w:rFonts w:ascii="Cambria Math" w:hAnsi="Cambria Math" w:cs="Tahoma"/>
              <w:sz w:val="22"/>
              <w:szCs w:val="22"/>
            </w:rPr>
            <m:t xml:space="preserve">=110× </m:t>
          </m:r>
          <m:f>
            <m:fPr>
              <m:ctrlPr>
                <w:rPr>
                  <w:rFonts w:ascii="Cambria Math" w:hAnsi="Cambria Math" w:cs="Tahoma"/>
                  <w:sz w:val="22"/>
                  <w:szCs w:val="22"/>
                </w:rPr>
              </m:ctrlPr>
            </m:fPr>
            <m:num>
              <m:r>
                <m:rPr>
                  <m:sty m:val="p"/>
                </m:rPr>
                <w:rPr>
                  <w:rFonts w:ascii="Cambria Math" w:hAnsi="Cambria Math" w:cs="Tahoma"/>
                  <w:sz w:val="22"/>
                  <w:szCs w:val="22"/>
                </w:rPr>
                <m:t xml:space="preserve"> </m:t>
              </m:r>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j</m:t>
                  </m:r>
                </m:sub>
              </m:sSub>
            </m:num>
            <m:den>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2016</m:t>
                  </m:r>
                </m:sub>
              </m:sSub>
            </m:den>
          </m:f>
        </m:oMath>
      </m:oMathPara>
    </w:p>
    <w:p w14:paraId="26969288"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 xml:space="preserve">Donde, </w:t>
      </w:r>
    </w:p>
    <w:p w14:paraId="7980447E"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48D094DA"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TCpRPj: Valor mensual reducido de compensación aplicable en municipios con población menor o igual a 100.000 habitantes, aplicable desde 2019 inclusive y en adelante.</w:t>
      </w:r>
    </w:p>
    <w:p w14:paraId="04EB4B70"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IPC j-1 : Índice de precios al consumidor a diciembre 31 del año j-1</w:t>
      </w:r>
    </w:p>
    <w:p w14:paraId="51B9ABCD"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IPC 2016: Índice de precios al consumidor a diciembre 31 de 2016</w:t>
      </w:r>
    </w:p>
    <w:p w14:paraId="5B00C671"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47C9B744"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208879DB"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El artículo 5 de la Resolución ANTV 1813 de 2017 establece que los valores determinados por concepto de concesión se actualizarán anualmente de acuerdo con la variación porcentual del índice de precios al consumidor del año anterior como se indica a continuación:</w:t>
      </w:r>
    </w:p>
    <w:p w14:paraId="2EB78B58"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52697F11" w14:textId="77777777" w:rsidR="0093197C" w:rsidRPr="00077FC7" w:rsidRDefault="0093197C" w:rsidP="00077FC7">
      <w:pPr>
        <w:spacing w:line="264" w:lineRule="auto"/>
        <w:jc w:val="both"/>
        <w:outlineLvl w:val="0"/>
        <w:rPr>
          <w:rFonts w:ascii="Arial Narrow" w:hAnsi="Arial Narrow" w:cs="Arial"/>
          <w:noProof/>
          <w:sz w:val="22"/>
          <w:szCs w:val="22"/>
          <w:lang w:val="es-ES"/>
        </w:rPr>
      </w:pPr>
    </w:p>
    <w:p w14:paraId="343C8FAF" w14:textId="77777777" w:rsidR="0093197C" w:rsidRPr="00077FC7" w:rsidRDefault="0093197C" w:rsidP="00077FC7">
      <w:pPr>
        <w:spacing w:line="264" w:lineRule="auto"/>
        <w:jc w:val="both"/>
        <w:outlineLvl w:val="0"/>
        <w:rPr>
          <w:rFonts w:ascii="Arial Narrow" w:hAnsi="Arial Narrow" w:cs="Tahoma"/>
          <w:sz w:val="22"/>
          <w:szCs w:val="22"/>
          <w:u w:val="single"/>
        </w:rPr>
      </w:pPr>
      <w:r w:rsidRPr="00077FC7">
        <w:rPr>
          <w:rFonts w:ascii="Arial Narrow" w:hAnsi="Arial Narrow" w:cs="Tahoma"/>
          <w:sz w:val="22"/>
          <w:szCs w:val="22"/>
          <w:u w:val="single"/>
        </w:rPr>
        <w:t xml:space="preserve">Actualización de la Tarifa del componente variable de la </w:t>
      </w:r>
      <w:r w:rsidRPr="00077FC7">
        <w:rPr>
          <w:rFonts w:ascii="Arial Narrow" w:hAnsi="Arial Narrow" w:cs="Tahoma"/>
          <w:b/>
          <w:sz w:val="22"/>
          <w:szCs w:val="22"/>
          <w:u w:val="single"/>
        </w:rPr>
        <w:t>CONCESIÓN</w:t>
      </w:r>
      <w:r w:rsidRPr="00077FC7">
        <w:rPr>
          <w:rFonts w:ascii="Arial Narrow" w:hAnsi="Arial Narrow" w:cs="Tahoma"/>
          <w:sz w:val="22"/>
          <w:szCs w:val="22"/>
          <w:u w:val="single"/>
        </w:rPr>
        <w:t xml:space="preserve"> para municipios con población mayor a 100.000 habitantes:</w:t>
      </w:r>
    </w:p>
    <w:p w14:paraId="1261049E" w14:textId="77777777" w:rsidR="0093197C" w:rsidRPr="00077FC7" w:rsidRDefault="0093197C" w:rsidP="00077FC7">
      <w:pPr>
        <w:spacing w:line="264" w:lineRule="auto"/>
        <w:jc w:val="both"/>
        <w:outlineLvl w:val="0"/>
        <w:rPr>
          <w:rFonts w:ascii="Arial Narrow" w:hAnsi="Arial Narrow" w:cs="Arial"/>
          <w:sz w:val="22"/>
          <w:szCs w:val="22"/>
        </w:rPr>
      </w:pPr>
    </w:p>
    <w:p w14:paraId="2EFAE549" w14:textId="77777777" w:rsidR="0093197C" w:rsidRPr="00077FC7" w:rsidRDefault="00B46E96" w:rsidP="00077FC7">
      <w:pPr>
        <w:spacing w:line="264" w:lineRule="auto"/>
        <w:ind w:right="-2"/>
        <w:jc w:val="both"/>
        <w:rPr>
          <w:rFonts w:ascii="Arial Narrow" w:hAnsi="Arial Narrow" w:cs="Tahoma"/>
          <w:sz w:val="22"/>
          <w:szCs w:val="22"/>
        </w:rPr>
      </w:pPr>
      <m:oMathPara>
        <m:oMath>
          <m:sSub>
            <m:sSubPr>
              <m:ctrlPr>
                <w:rPr>
                  <w:rFonts w:ascii="Cambria Math" w:hAnsi="Cambria Math" w:cs="Tahoma"/>
                  <w:sz w:val="22"/>
                  <w:szCs w:val="22"/>
                </w:rPr>
              </m:ctrlPr>
            </m:sSubPr>
            <m:e>
              <m:r>
                <m:rPr>
                  <m:sty m:val="p"/>
                </m:rPr>
                <w:rPr>
                  <w:rFonts w:ascii="Cambria Math" w:hAnsi="Cambria Math" w:cs="Tahoma"/>
                  <w:sz w:val="22"/>
                  <w:szCs w:val="22"/>
                </w:rPr>
                <m:t>TCnVRG</m:t>
              </m:r>
            </m:e>
            <m:sub>
              <m:r>
                <w:rPr>
                  <w:rFonts w:ascii="Cambria Math" w:hAnsi="Cambria Math" w:cs="Tahoma"/>
                  <w:sz w:val="22"/>
                  <w:szCs w:val="22"/>
                </w:rPr>
                <m:t>j</m:t>
              </m:r>
            </m:sub>
          </m:sSub>
          <m:r>
            <w:rPr>
              <w:rFonts w:ascii="Cambria Math" w:hAnsi="Cambria Math" w:cs="Tahoma"/>
              <w:sz w:val="22"/>
              <w:szCs w:val="22"/>
            </w:rPr>
            <m:t>= 272</m:t>
          </m:r>
          <m:r>
            <m:rPr>
              <m:sty m:val="p"/>
            </m:rPr>
            <w:rPr>
              <w:rFonts w:ascii="Cambria Math" w:hAnsi="Cambria Math" w:cs="Tahoma"/>
              <w:sz w:val="22"/>
              <w:szCs w:val="22"/>
            </w:rPr>
            <m:t xml:space="preserve">× </m:t>
          </m:r>
          <m:f>
            <m:fPr>
              <m:ctrlPr>
                <w:rPr>
                  <w:rFonts w:ascii="Cambria Math" w:hAnsi="Cambria Math" w:cs="Tahoma"/>
                  <w:sz w:val="22"/>
                  <w:szCs w:val="22"/>
                </w:rPr>
              </m:ctrlPr>
            </m:fPr>
            <m:num>
              <m:r>
                <m:rPr>
                  <m:sty m:val="p"/>
                </m:rPr>
                <w:rPr>
                  <w:rFonts w:ascii="Cambria Math" w:hAnsi="Cambria Math" w:cs="Tahoma"/>
                  <w:sz w:val="22"/>
                  <w:szCs w:val="22"/>
                </w:rPr>
                <m:t xml:space="preserve"> </m:t>
              </m:r>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j-1</m:t>
                  </m:r>
                </m:sub>
              </m:sSub>
            </m:num>
            <m:den>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2016</m:t>
                  </m:r>
                </m:sub>
              </m:sSub>
            </m:den>
          </m:f>
          <m:r>
            <m:rPr>
              <m:sty m:val="p"/>
            </m:rPr>
            <w:rPr>
              <w:rFonts w:ascii="Cambria Math" w:hAnsi="Cambria Math" w:cs="Tahoma"/>
              <w:sz w:val="22"/>
              <w:szCs w:val="22"/>
            </w:rPr>
            <m:t xml:space="preserve"> </m:t>
          </m:r>
        </m:oMath>
      </m:oMathPara>
    </w:p>
    <w:p w14:paraId="6A3AEAB9" w14:textId="77777777" w:rsidR="0093197C" w:rsidRPr="00077FC7" w:rsidRDefault="0093197C" w:rsidP="00077FC7">
      <w:pPr>
        <w:pStyle w:val="Prrafodelista"/>
        <w:spacing w:line="264" w:lineRule="auto"/>
        <w:ind w:left="0"/>
        <w:jc w:val="both"/>
        <w:rPr>
          <w:rFonts w:ascii="Arial Narrow" w:hAnsi="Arial Narrow" w:cs="Tahoma"/>
          <w:sz w:val="22"/>
          <w:szCs w:val="22"/>
          <w:lang w:val="es-ES_tradnl"/>
        </w:rPr>
      </w:pPr>
      <w:r w:rsidRPr="00077FC7">
        <w:rPr>
          <w:rFonts w:ascii="Arial Narrow" w:hAnsi="Arial Narrow" w:cs="Tahoma"/>
          <w:sz w:val="22"/>
          <w:szCs w:val="22"/>
          <w:lang w:val="es-ES_tradnl"/>
        </w:rPr>
        <w:t>Donde:</w:t>
      </w:r>
    </w:p>
    <w:p w14:paraId="714BA6CD"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TCnVGj: Valor mensual reducido del componente variable de la concesión en municipios de más de 100.000 habitantes en el año j, aplicable a partir del año 2019.</w:t>
      </w:r>
    </w:p>
    <w:p w14:paraId="7E4B0061"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IPCj-1: ïndice de precios al consumidor a diciembre 31 del año j-1</w:t>
      </w:r>
    </w:p>
    <w:p w14:paraId="1E5A7776" w14:textId="77777777" w:rsidR="0093197C" w:rsidRPr="00077FC7" w:rsidRDefault="0093197C" w:rsidP="00077FC7">
      <w:pPr>
        <w:spacing w:line="264" w:lineRule="auto"/>
        <w:jc w:val="both"/>
        <w:outlineLvl w:val="0"/>
        <w:rPr>
          <w:rFonts w:ascii="Arial Narrow" w:hAnsi="Arial Narrow" w:cs="Arial"/>
          <w:noProof/>
          <w:sz w:val="22"/>
          <w:szCs w:val="22"/>
          <w:lang w:val="es-ES"/>
        </w:rPr>
      </w:pPr>
      <w:r w:rsidRPr="00077FC7">
        <w:rPr>
          <w:rFonts w:ascii="Arial Narrow" w:hAnsi="Arial Narrow" w:cs="Arial"/>
          <w:noProof/>
          <w:sz w:val="22"/>
          <w:szCs w:val="22"/>
          <w:lang w:val="es-ES"/>
        </w:rPr>
        <w:t>IPC2016: Índice de precios al consumidor a diciembre 31 de 2016</w:t>
      </w:r>
    </w:p>
    <w:p w14:paraId="0FA5A4D7" w14:textId="77777777" w:rsidR="0093197C" w:rsidRPr="00077FC7" w:rsidRDefault="0093197C" w:rsidP="00077FC7">
      <w:pPr>
        <w:spacing w:line="264" w:lineRule="auto"/>
        <w:ind w:right="-2"/>
        <w:jc w:val="both"/>
        <w:rPr>
          <w:rFonts w:ascii="Arial Narrow" w:hAnsi="Arial Narrow" w:cs="Tahoma"/>
          <w:b/>
          <w:sz w:val="22"/>
          <w:szCs w:val="22"/>
        </w:rPr>
      </w:pPr>
    </w:p>
    <w:p w14:paraId="60B17DB5" w14:textId="77777777" w:rsidR="0093197C" w:rsidRPr="00077FC7" w:rsidRDefault="0093197C" w:rsidP="00077FC7">
      <w:pPr>
        <w:spacing w:line="264" w:lineRule="auto"/>
        <w:contextualSpacing/>
        <w:jc w:val="both"/>
        <w:rPr>
          <w:rFonts w:ascii="Arial Narrow" w:hAnsi="Arial Narrow" w:cs="Tahoma"/>
          <w:sz w:val="22"/>
          <w:szCs w:val="22"/>
          <w:u w:val="single"/>
        </w:rPr>
      </w:pPr>
      <w:r w:rsidRPr="00077FC7">
        <w:rPr>
          <w:rFonts w:ascii="Arial Narrow" w:hAnsi="Arial Narrow" w:cs="Tahoma"/>
          <w:sz w:val="22"/>
          <w:szCs w:val="22"/>
          <w:u w:val="single"/>
        </w:rPr>
        <w:t xml:space="preserve">Actualización de la Tarifa del componente variable de la </w:t>
      </w:r>
      <w:r w:rsidRPr="00077FC7">
        <w:rPr>
          <w:rFonts w:ascii="Arial Narrow" w:hAnsi="Arial Narrow" w:cs="Tahoma"/>
          <w:b/>
          <w:sz w:val="22"/>
          <w:szCs w:val="22"/>
          <w:u w:val="single"/>
        </w:rPr>
        <w:t>CONCESIÓN</w:t>
      </w:r>
      <w:r w:rsidRPr="00077FC7">
        <w:rPr>
          <w:rFonts w:ascii="Arial Narrow" w:hAnsi="Arial Narrow" w:cs="Tahoma"/>
          <w:sz w:val="22"/>
          <w:szCs w:val="22"/>
          <w:u w:val="single"/>
        </w:rPr>
        <w:t xml:space="preserve"> para municipios con población menor o igual a 100.000 habitantes:</w:t>
      </w:r>
    </w:p>
    <w:p w14:paraId="454F1A11" w14:textId="450C969D" w:rsidR="009A47C6" w:rsidRPr="00077FC7" w:rsidRDefault="009A47C6" w:rsidP="00077FC7">
      <w:pPr>
        <w:spacing w:line="264" w:lineRule="auto"/>
        <w:jc w:val="both"/>
        <w:rPr>
          <w:rFonts w:ascii="Arial Narrow" w:hAnsi="Arial Narrow" w:cs="Arial"/>
          <w:sz w:val="22"/>
          <w:szCs w:val="22"/>
        </w:rPr>
      </w:pPr>
    </w:p>
    <w:p w14:paraId="01B7C082" w14:textId="77777777" w:rsidR="0093197C" w:rsidRPr="00077FC7" w:rsidRDefault="00B46E96" w:rsidP="00077FC7">
      <w:pPr>
        <w:spacing w:line="264" w:lineRule="auto"/>
        <w:ind w:right="-2"/>
        <w:jc w:val="both"/>
        <w:rPr>
          <w:rFonts w:ascii="Arial Narrow" w:hAnsi="Arial Narrow" w:cs="Tahoma"/>
          <w:sz w:val="22"/>
          <w:szCs w:val="22"/>
        </w:rPr>
      </w:pPr>
      <m:oMathPara>
        <m:oMath>
          <m:sSub>
            <m:sSubPr>
              <m:ctrlPr>
                <w:rPr>
                  <w:rFonts w:ascii="Cambria Math" w:hAnsi="Cambria Math" w:cs="Tahoma"/>
                  <w:sz w:val="22"/>
                  <w:szCs w:val="22"/>
                </w:rPr>
              </m:ctrlPr>
            </m:sSubPr>
            <m:e>
              <m:r>
                <m:rPr>
                  <m:sty m:val="p"/>
                </m:rPr>
                <w:rPr>
                  <w:rFonts w:ascii="Cambria Math" w:hAnsi="Cambria Math" w:cs="Tahoma"/>
                  <w:sz w:val="22"/>
                  <w:szCs w:val="22"/>
                </w:rPr>
                <m:t>TCnVRP</m:t>
              </m:r>
            </m:e>
            <m:sub>
              <m:r>
                <w:rPr>
                  <w:rFonts w:ascii="Cambria Math" w:hAnsi="Cambria Math" w:cs="Tahoma"/>
                  <w:sz w:val="22"/>
                  <w:szCs w:val="22"/>
                </w:rPr>
                <m:t>j</m:t>
              </m:r>
            </m:sub>
          </m:sSub>
          <m:r>
            <m:rPr>
              <m:sty m:val="p"/>
            </m:rPr>
            <w:rPr>
              <w:rFonts w:ascii="Cambria Math" w:hAnsi="Cambria Math" w:cs="Tahoma"/>
              <w:sz w:val="22"/>
              <w:szCs w:val="22"/>
            </w:rPr>
            <m:t xml:space="preserve">=66× </m:t>
          </m:r>
          <m:f>
            <m:fPr>
              <m:ctrlPr>
                <w:rPr>
                  <w:rFonts w:ascii="Cambria Math" w:hAnsi="Cambria Math" w:cs="Tahoma"/>
                  <w:sz w:val="22"/>
                  <w:szCs w:val="22"/>
                </w:rPr>
              </m:ctrlPr>
            </m:fPr>
            <m:num>
              <m:r>
                <m:rPr>
                  <m:sty m:val="p"/>
                </m:rPr>
                <w:rPr>
                  <w:rFonts w:ascii="Cambria Math" w:hAnsi="Cambria Math" w:cs="Tahoma"/>
                  <w:sz w:val="22"/>
                  <w:szCs w:val="22"/>
                </w:rPr>
                <m:t xml:space="preserve"> </m:t>
              </m:r>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j-1</m:t>
                  </m:r>
                </m:sub>
              </m:sSub>
            </m:num>
            <m:den>
              <m:sSub>
                <m:sSubPr>
                  <m:ctrlPr>
                    <w:rPr>
                      <w:rFonts w:ascii="Cambria Math" w:hAnsi="Cambria Math" w:cs="Tahoma"/>
                      <w:sz w:val="22"/>
                      <w:szCs w:val="22"/>
                    </w:rPr>
                  </m:ctrlPr>
                </m:sSubPr>
                <m:e>
                  <m:r>
                    <w:rPr>
                      <w:rFonts w:ascii="Cambria Math" w:hAnsi="Cambria Math" w:cs="Tahoma"/>
                      <w:sz w:val="22"/>
                      <w:szCs w:val="22"/>
                    </w:rPr>
                    <m:t>IPC</m:t>
                  </m:r>
                </m:e>
                <m:sub>
                  <m:r>
                    <w:rPr>
                      <w:rFonts w:ascii="Cambria Math" w:hAnsi="Cambria Math" w:cs="Tahoma"/>
                      <w:sz w:val="22"/>
                      <w:szCs w:val="22"/>
                    </w:rPr>
                    <m:t>2016</m:t>
                  </m:r>
                </m:sub>
              </m:sSub>
            </m:den>
          </m:f>
          <m:r>
            <m:rPr>
              <m:sty m:val="p"/>
            </m:rPr>
            <w:rPr>
              <w:rFonts w:ascii="Cambria Math" w:hAnsi="Cambria Math" w:cs="Tahoma"/>
              <w:sz w:val="22"/>
              <w:szCs w:val="22"/>
            </w:rPr>
            <m:t xml:space="preserve"> </m:t>
          </m:r>
        </m:oMath>
      </m:oMathPara>
    </w:p>
    <w:p w14:paraId="0160E0EB" w14:textId="77777777" w:rsidR="0093197C" w:rsidRPr="00077FC7" w:rsidRDefault="0093197C" w:rsidP="00077FC7">
      <w:pPr>
        <w:pStyle w:val="Prrafodelista"/>
        <w:spacing w:line="264" w:lineRule="auto"/>
        <w:ind w:left="0"/>
        <w:jc w:val="both"/>
        <w:rPr>
          <w:rFonts w:ascii="Arial Narrow" w:hAnsi="Arial Narrow" w:cs="Tahoma"/>
          <w:sz w:val="22"/>
          <w:szCs w:val="22"/>
          <w:lang w:val="es-ES_tradnl"/>
        </w:rPr>
      </w:pPr>
    </w:p>
    <w:p w14:paraId="7CA158DB" w14:textId="77777777" w:rsidR="0093197C" w:rsidRPr="00077FC7" w:rsidRDefault="0093197C" w:rsidP="00077FC7">
      <w:pPr>
        <w:pStyle w:val="Prrafodelista"/>
        <w:spacing w:line="264" w:lineRule="auto"/>
        <w:ind w:left="0"/>
        <w:jc w:val="both"/>
        <w:rPr>
          <w:rFonts w:ascii="Arial Narrow" w:hAnsi="Arial Narrow" w:cs="Tahoma"/>
          <w:sz w:val="22"/>
          <w:szCs w:val="22"/>
          <w:lang w:val="es-ES_tradnl"/>
        </w:rPr>
      </w:pPr>
      <w:r w:rsidRPr="00077FC7">
        <w:rPr>
          <w:rFonts w:ascii="Arial Narrow" w:hAnsi="Arial Narrow" w:cs="Tahoma"/>
          <w:sz w:val="22"/>
          <w:szCs w:val="22"/>
          <w:lang w:val="es-ES_tradnl"/>
        </w:rPr>
        <w:t>Donde</w:t>
      </w:r>
    </w:p>
    <w:p w14:paraId="54DAD751" w14:textId="77777777" w:rsidR="0093197C" w:rsidRPr="00077FC7" w:rsidRDefault="0093197C" w:rsidP="00077FC7">
      <w:pPr>
        <w:spacing w:line="264" w:lineRule="auto"/>
        <w:ind w:left="-142"/>
        <w:jc w:val="both"/>
        <w:outlineLvl w:val="0"/>
        <w:rPr>
          <w:rFonts w:ascii="Arial Narrow" w:hAnsi="Arial Narrow" w:cs="Arial"/>
          <w:sz w:val="22"/>
          <w:szCs w:val="22"/>
        </w:rPr>
      </w:pPr>
    </w:p>
    <w:p w14:paraId="6A831EB5" w14:textId="77777777" w:rsidR="0093197C" w:rsidRPr="00077FC7" w:rsidRDefault="0093197C" w:rsidP="00077FC7">
      <w:pPr>
        <w:spacing w:line="264" w:lineRule="auto"/>
        <w:jc w:val="both"/>
        <w:outlineLvl w:val="0"/>
        <w:rPr>
          <w:rFonts w:ascii="Arial Narrow" w:hAnsi="Arial Narrow" w:cs="Arial"/>
          <w:sz w:val="22"/>
          <w:szCs w:val="22"/>
        </w:rPr>
      </w:pPr>
      <w:proofErr w:type="spellStart"/>
      <w:r w:rsidRPr="00077FC7">
        <w:rPr>
          <w:rFonts w:ascii="Arial Narrow" w:hAnsi="Arial Narrow" w:cs="Arial"/>
          <w:sz w:val="22"/>
          <w:szCs w:val="22"/>
        </w:rPr>
        <w:t>TCnVRPj</w:t>
      </w:r>
      <w:proofErr w:type="spellEnd"/>
      <w:r w:rsidRPr="00077FC7">
        <w:rPr>
          <w:rFonts w:ascii="Arial Narrow" w:hAnsi="Arial Narrow" w:cs="Arial"/>
          <w:sz w:val="22"/>
          <w:szCs w:val="22"/>
        </w:rPr>
        <w:t>: Valor mensual reducido del componente variable de la concesión en municipios de menos de 100.000 habitantes en el año j</w:t>
      </w:r>
    </w:p>
    <w:p w14:paraId="433DEF41" w14:textId="77777777" w:rsidR="0093197C" w:rsidRPr="00077FC7" w:rsidRDefault="0093197C" w:rsidP="00077FC7">
      <w:pPr>
        <w:tabs>
          <w:tab w:val="left" w:pos="426"/>
        </w:tabs>
        <w:spacing w:line="264" w:lineRule="auto"/>
        <w:jc w:val="both"/>
        <w:outlineLvl w:val="0"/>
        <w:rPr>
          <w:rFonts w:ascii="Arial Narrow" w:hAnsi="Arial Narrow" w:cs="Arial"/>
          <w:sz w:val="22"/>
          <w:szCs w:val="22"/>
        </w:rPr>
      </w:pPr>
      <w:r w:rsidRPr="00077FC7">
        <w:rPr>
          <w:rFonts w:ascii="Arial Narrow" w:hAnsi="Arial Narrow" w:cs="Arial"/>
          <w:sz w:val="22"/>
          <w:szCs w:val="22"/>
        </w:rPr>
        <w:t>IPCj-1: Índice de precios al consumidor a diciembre 31 del año j-1</w:t>
      </w:r>
    </w:p>
    <w:p w14:paraId="3A1060DD" w14:textId="77777777" w:rsidR="0093197C" w:rsidRPr="00077FC7" w:rsidRDefault="0093197C" w:rsidP="00077FC7">
      <w:pPr>
        <w:tabs>
          <w:tab w:val="left" w:pos="426"/>
        </w:tabs>
        <w:spacing w:line="264" w:lineRule="auto"/>
        <w:jc w:val="both"/>
        <w:outlineLvl w:val="0"/>
        <w:rPr>
          <w:rFonts w:ascii="Arial Narrow" w:hAnsi="Arial Narrow" w:cs="Arial"/>
          <w:sz w:val="22"/>
          <w:szCs w:val="22"/>
        </w:rPr>
      </w:pPr>
      <w:r w:rsidRPr="00077FC7">
        <w:rPr>
          <w:rFonts w:ascii="Arial Narrow" w:hAnsi="Arial Narrow" w:cs="Arial"/>
          <w:sz w:val="22"/>
          <w:szCs w:val="22"/>
        </w:rPr>
        <w:t>IPC2016: Índice de precios al consumidor a diciembre 31 de 2016</w:t>
      </w:r>
    </w:p>
    <w:p w14:paraId="2160C65E" w14:textId="77777777" w:rsidR="0093197C" w:rsidRPr="00077FC7" w:rsidRDefault="0093197C" w:rsidP="00077FC7">
      <w:pPr>
        <w:tabs>
          <w:tab w:val="left" w:pos="426"/>
        </w:tabs>
        <w:spacing w:line="264" w:lineRule="auto"/>
        <w:jc w:val="both"/>
        <w:outlineLvl w:val="0"/>
        <w:rPr>
          <w:rFonts w:ascii="Arial Narrow" w:hAnsi="Arial Narrow" w:cs="Arial"/>
          <w:sz w:val="22"/>
          <w:szCs w:val="22"/>
        </w:rPr>
      </w:pPr>
    </w:p>
    <w:p w14:paraId="18A6D3F3" w14:textId="77777777" w:rsidR="0093197C" w:rsidRPr="00077FC7" w:rsidRDefault="0093197C" w:rsidP="00077FC7">
      <w:pPr>
        <w:tabs>
          <w:tab w:val="left" w:pos="426"/>
        </w:tabs>
        <w:spacing w:line="264" w:lineRule="auto"/>
        <w:jc w:val="both"/>
        <w:outlineLvl w:val="0"/>
        <w:rPr>
          <w:rFonts w:ascii="Arial Narrow" w:hAnsi="Arial Narrow" w:cs="Arial"/>
          <w:sz w:val="22"/>
          <w:szCs w:val="22"/>
        </w:rPr>
      </w:pPr>
      <w:r w:rsidRPr="00077FC7">
        <w:rPr>
          <w:rFonts w:ascii="Arial Narrow" w:hAnsi="Arial Narrow" w:cs="Arial"/>
          <w:sz w:val="22"/>
          <w:szCs w:val="22"/>
        </w:rPr>
        <w:t xml:space="preserve">De acuerdo con lo anterior la ANTV mediante Resoluciones 665 y 667 de 2018 actualizó para el año 2018  los valores de compensación y componente variable de la concesión, respectivamente, y mediante Resolución 0042 de 2019 actualizó el  </w:t>
      </w:r>
      <w:r w:rsidRPr="00077FC7">
        <w:rPr>
          <w:rFonts w:ascii="Arial Narrow" w:hAnsi="Arial Narrow" w:cs="Arial"/>
          <w:sz w:val="22"/>
          <w:szCs w:val="22"/>
        </w:rPr>
        <w:lastRenderedPageBreak/>
        <w:t>valor del componente variable de la concesión y el valor de la compensación para los operadores de televisión por suscripción  para el año 2019,  de acuerdo con lo previsto por los artículos 4 y 5 de la Resolución 1813 de 2017.</w:t>
      </w:r>
    </w:p>
    <w:p w14:paraId="531DD5E9" w14:textId="77777777" w:rsidR="0093197C" w:rsidRPr="00077FC7" w:rsidRDefault="0093197C" w:rsidP="00077FC7">
      <w:pPr>
        <w:tabs>
          <w:tab w:val="left" w:pos="426"/>
        </w:tabs>
        <w:spacing w:line="264" w:lineRule="auto"/>
        <w:jc w:val="both"/>
        <w:outlineLvl w:val="0"/>
        <w:rPr>
          <w:rFonts w:ascii="Arial Narrow" w:hAnsi="Arial Narrow" w:cs="Arial"/>
          <w:sz w:val="22"/>
          <w:szCs w:val="22"/>
        </w:rPr>
      </w:pPr>
    </w:p>
    <w:p w14:paraId="3AA4342C" w14:textId="540B83EF" w:rsidR="0093197C" w:rsidRPr="00077FC7" w:rsidRDefault="00E72108" w:rsidP="00077FC7">
      <w:pPr>
        <w:tabs>
          <w:tab w:val="left" w:pos="426"/>
        </w:tabs>
        <w:spacing w:line="264" w:lineRule="auto"/>
        <w:jc w:val="both"/>
        <w:outlineLvl w:val="0"/>
        <w:rPr>
          <w:rFonts w:ascii="Arial Narrow" w:hAnsi="Arial Narrow" w:cs="Arial"/>
          <w:spacing w:val="-2"/>
          <w:sz w:val="22"/>
          <w:szCs w:val="22"/>
        </w:rPr>
      </w:pPr>
      <w:r w:rsidRPr="00077FC7">
        <w:rPr>
          <w:rFonts w:ascii="Arial Narrow" w:hAnsi="Arial Narrow" w:cs="Arial"/>
          <w:sz w:val="22"/>
          <w:szCs w:val="22"/>
        </w:rPr>
        <w:t>E</w:t>
      </w:r>
      <w:r w:rsidR="0093197C" w:rsidRPr="00077FC7">
        <w:rPr>
          <w:rFonts w:ascii="Arial Narrow" w:hAnsi="Arial Narrow" w:cs="Arial"/>
          <w:sz w:val="22"/>
          <w:szCs w:val="22"/>
        </w:rPr>
        <w:t xml:space="preserve">s necesario actualizar el valor de la tarifa del componente variable de la concesión y </w:t>
      </w:r>
      <w:r w:rsidR="0093197C" w:rsidRPr="00077FC7">
        <w:rPr>
          <w:rFonts w:ascii="Arial Narrow" w:hAnsi="Arial Narrow" w:cs="Arial"/>
          <w:spacing w:val="-2"/>
          <w:sz w:val="22"/>
          <w:szCs w:val="22"/>
        </w:rPr>
        <w:t>el valor de la tarifa de compensación que deben pagar los concesionarios del servicio de televisión por suscripción</w:t>
      </w:r>
      <w:r w:rsidR="007730B6">
        <w:rPr>
          <w:rFonts w:ascii="Arial Narrow" w:hAnsi="Arial Narrow" w:cs="Arial"/>
          <w:spacing w:val="-2"/>
          <w:sz w:val="22"/>
          <w:szCs w:val="22"/>
        </w:rPr>
        <w:t xml:space="preserve"> con contrato vigente</w:t>
      </w:r>
      <w:r w:rsidR="0093197C" w:rsidRPr="00077FC7">
        <w:rPr>
          <w:rFonts w:ascii="Arial Narrow" w:hAnsi="Arial Narrow" w:cs="Arial"/>
          <w:spacing w:val="-2"/>
          <w:sz w:val="22"/>
          <w:szCs w:val="22"/>
        </w:rPr>
        <w:t>, para el año de 2020.</w:t>
      </w:r>
    </w:p>
    <w:p w14:paraId="1C59E2E8" w14:textId="6FA04E27" w:rsidR="00E8258B" w:rsidRPr="00077FC7" w:rsidRDefault="00E8258B" w:rsidP="00077FC7">
      <w:pPr>
        <w:spacing w:line="264" w:lineRule="auto"/>
        <w:jc w:val="both"/>
        <w:rPr>
          <w:rFonts w:ascii="Arial Narrow" w:hAnsi="Arial Narrow" w:cs="Arial"/>
          <w:color w:val="000000" w:themeColor="text1"/>
          <w:sz w:val="22"/>
          <w:szCs w:val="22"/>
          <w:lang w:val="es-ES_tradnl"/>
        </w:rPr>
      </w:pPr>
    </w:p>
    <w:p w14:paraId="3F629EA5" w14:textId="77777777" w:rsidR="00D33991" w:rsidRPr="00077FC7" w:rsidRDefault="00D33991" w:rsidP="00077FC7">
      <w:pPr>
        <w:spacing w:line="264" w:lineRule="auto"/>
        <w:jc w:val="both"/>
        <w:rPr>
          <w:rFonts w:ascii="Arial Narrow" w:hAnsi="Arial Narrow" w:cs="Arial"/>
          <w:b/>
          <w:color w:val="000000" w:themeColor="text1"/>
          <w:sz w:val="22"/>
          <w:szCs w:val="22"/>
          <w:lang w:val="es-ES_tradnl"/>
        </w:rPr>
      </w:pPr>
      <w:r w:rsidRPr="00077FC7">
        <w:rPr>
          <w:rFonts w:ascii="Arial Narrow" w:hAnsi="Arial Narrow" w:cs="Arial"/>
          <w:b/>
          <w:color w:val="000000" w:themeColor="text1"/>
          <w:sz w:val="22"/>
          <w:szCs w:val="22"/>
          <w:lang w:val="es-ES_tradnl"/>
        </w:rPr>
        <w:t>2.</w:t>
      </w:r>
      <w:r w:rsidRPr="00077FC7">
        <w:rPr>
          <w:rFonts w:ascii="Arial Narrow" w:hAnsi="Arial Narrow" w:cs="Arial"/>
          <w:b/>
          <w:color w:val="000000" w:themeColor="text1"/>
          <w:sz w:val="22"/>
          <w:szCs w:val="22"/>
          <w:lang w:val="es-ES_tradnl"/>
        </w:rPr>
        <w:tab/>
        <w:t>Ámbito de aplicación del acto administrativo</w:t>
      </w:r>
    </w:p>
    <w:p w14:paraId="456CFAE8" w14:textId="27C421C5" w:rsidR="00D33991" w:rsidRPr="00077FC7" w:rsidRDefault="00D33991" w:rsidP="00077FC7">
      <w:pPr>
        <w:spacing w:line="264" w:lineRule="auto"/>
        <w:jc w:val="both"/>
        <w:rPr>
          <w:rFonts w:ascii="Arial Narrow" w:hAnsi="Arial Narrow" w:cs="Arial"/>
          <w:color w:val="000000" w:themeColor="text1"/>
          <w:sz w:val="22"/>
          <w:szCs w:val="22"/>
          <w:lang w:val="es-ES_tradnl"/>
        </w:rPr>
      </w:pPr>
    </w:p>
    <w:p w14:paraId="427897D9" w14:textId="22F233CE" w:rsidR="004F1C7F" w:rsidRPr="00077FC7" w:rsidRDefault="0093197C" w:rsidP="00077FC7">
      <w:pPr>
        <w:spacing w:line="264" w:lineRule="auto"/>
        <w:jc w:val="both"/>
        <w:rPr>
          <w:rFonts w:ascii="Arial Narrow" w:hAnsi="Arial Narrow" w:cs="Arial"/>
          <w:color w:val="000000" w:themeColor="text1"/>
          <w:sz w:val="22"/>
          <w:szCs w:val="22"/>
          <w:lang w:val="es-ES_tradnl"/>
        </w:rPr>
      </w:pPr>
      <w:r w:rsidRPr="00077FC7">
        <w:rPr>
          <w:rFonts w:ascii="Arial Narrow" w:hAnsi="Arial Narrow" w:cs="Arial"/>
          <w:color w:val="000000" w:themeColor="text1"/>
          <w:sz w:val="22"/>
          <w:szCs w:val="22"/>
          <w:lang w:val="es-ES_tradnl"/>
        </w:rPr>
        <w:t xml:space="preserve">La </w:t>
      </w:r>
      <w:r w:rsidR="007730B6">
        <w:rPr>
          <w:rFonts w:ascii="Arial Narrow" w:hAnsi="Arial Narrow" w:cs="Arial"/>
          <w:color w:val="000000" w:themeColor="text1"/>
          <w:sz w:val="22"/>
          <w:szCs w:val="22"/>
          <w:lang w:val="es-ES_tradnl"/>
        </w:rPr>
        <w:t xml:space="preserve">tarifa de compensación definida en la Resolución 1813 de 2017 </w:t>
      </w:r>
      <w:r w:rsidRPr="00077FC7">
        <w:rPr>
          <w:rFonts w:ascii="Arial Narrow" w:hAnsi="Arial Narrow" w:cs="Arial"/>
          <w:color w:val="000000" w:themeColor="text1"/>
          <w:sz w:val="22"/>
          <w:szCs w:val="22"/>
          <w:lang w:val="es-ES_tradnl"/>
        </w:rPr>
        <w:t xml:space="preserve">aplica a </w:t>
      </w:r>
      <w:r w:rsidR="007730B6">
        <w:rPr>
          <w:rFonts w:ascii="Arial Narrow" w:hAnsi="Arial Narrow" w:cs="Arial"/>
          <w:color w:val="000000" w:themeColor="text1"/>
          <w:sz w:val="22"/>
          <w:szCs w:val="22"/>
          <w:lang w:val="es-ES_tradnl"/>
        </w:rPr>
        <w:t>todos los</w:t>
      </w:r>
      <w:r w:rsidRPr="00077FC7">
        <w:rPr>
          <w:rFonts w:ascii="Arial Narrow" w:hAnsi="Arial Narrow" w:cs="Arial"/>
          <w:color w:val="000000" w:themeColor="text1"/>
          <w:sz w:val="22"/>
          <w:szCs w:val="22"/>
          <w:lang w:val="es-ES_tradnl"/>
        </w:rPr>
        <w:t xml:space="preserve"> operadores de televisión por suscripción</w:t>
      </w:r>
      <w:r w:rsidR="001414CB" w:rsidRPr="00077FC7">
        <w:rPr>
          <w:rFonts w:ascii="Arial Narrow" w:hAnsi="Arial Narrow" w:cs="Arial"/>
          <w:color w:val="000000" w:themeColor="text1"/>
          <w:sz w:val="22"/>
          <w:szCs w:val="22"/>
          <w:lang w:val="es-ES_tradnl"/>
        </w:rPr>
        <w:t xml:space="preserve"> con contrato de concesión vigente</w:t>
      </w:r>
      <w:r w:rsidR="007730B6">
        <w:rPr>
          <w:rFonts w:ascii="Arial Narrow" w:hAnsi="Arial Narrow" w:cs="Arial"/>
          <w:color w:val="000000" w:themeColor="text1"/>
          <w:sz w:val="22"/>
          <w:szCs w:val="22"/>
          <w:lang w:val="es-ES_tradnl"/>
        </w:rPr>
        <w:t xml:space="preserve"> y la tarifa de concesión definida en esta resolución aplica a los concesionarios de t</w:t>
      </w:r>
      <w:r w:rsidR="004F1C7F" w:rsidRPr="00077FC7">
        <w:rPr>
          <w:rFonts w:ascii="Arial Narrow" w:hAnsi="Arial Narrow" w:cs="Arial"/>
          <w:color w:val="000000" w:themeColor="text1"/>
          <w:sz w:val="22"/>
          <w:szCs w:val="22"/>
          <w:lang w:val="es-ES_tradnl"/>
        </w:rPr>
        <w:t>elevisión por suscripción</w:t>
      </w:r>
      <w:r w:rsidR="001414CB" w:rsidRPr="00077FC7">
        <w:rPr>
          <w:rFonts w:ascii="Arial Narrow" w:hAnsi="Arial Narrow" w:cs="Arial"/>
          <w:color w:val="000000" w:themeColor="text1"/>
          <w:sz w:val="22"/>
          <w:szCs w:val="22"/>
          <w:lang w:val="es-ES_tradnl"/>
        </w:rPr>
        <w:t xml:space="preserve"> con contrato de concesión vigente</w:t>
      </w:r>
      <w:r w:rsidR="004F1C7F" w:rsidRPr="00077FC7">
        <w:rPr>
          <w:rFonts w:ascii="Arial Narrow" w:hAnsi="Arial Narrow" w:cs="Arial"/>
          <w:color w:val="000000" w:themeColor="text1"/>
          <w:sz w:val="22"/>
          <w:szCs w:val="22"/>
          <w:lang w:val="es-ES_tradnl"/>
        </w:rPr>
        <w:t xml:space="preserve"> </w:t>
      </w:r>
      <w:r w:rsidR="001414CB" w:rsidRPr="00077FC7">
        <w:rPr>
          <w:rFonts w:ascii="Arial Narrow" w:hAnsi="Arial Narrow" w:cs="Arial"/>
          <w:color w:val="000000" w:themeColor="text1"/>
          <w:sz w:val="22"/>
          <w:szCs w:val="22"/>
          <w:lang w:val="es-ES_tradnl"/>
        </w:rPr>
        <w:t xml:space="preserve">definidos en el </w:t>
      </w:r>
      <w:r w:rsidR="00235A68" w:rsidRPr="00077FC7">
        <w:rPr>
          <w:rFonts w:ascii="Arial Narrow" w:hAnsi="Arial Narrow" w:cs="Arial"/>
          <w:color w:val="000000" w:themeColor="text1"/>
          <w:sz w:val="22"/>
          <w:szCs w:val="22"/>
          <w:lang w:val="es-ES_tradnl"/>
        </w:rPr>
        <w:t>inciso</w:t>
      </w:r>
      <w:r w:rsidR="001414CB" w:rsidRPr="00077FC7">
        <w:rPr>
          <w:rFonts w:ascii="Arial Narrow" w:hAnsi="Arial Narrow" w:cs="Arial"/>
          <w:color w:val="000000" w:themeColor="text1"/>
          <w:sz w:val="22"/>
          <w:szCs w:val="22"/>
          <w:lang w:val="es-ES_tradnl"/>
        </w:rPr>
        <w:t xml:space="preserve"> </w:t>
      </w:r>
      <w:r w:rsidR="007730B6">
        <w:rPr>
          <w:rFonts w:ascii="Arial Narrow" w:hAnsi="Arial Narrow" w:cs="Arial"/>
          <w:color w:val="000000" w:themeColor="text1"/>
          <w:sz w:val="22"/>
          <w:szCs w:val="22"/>
          <w:lang w:val="es-ES_tradnl"/>
        </w:rPr>
        <w:t>2d</w:t>
      </w:r>
      <w:r w:rsidR="001414CB" w:rsidRPr="00077FC7">
        <w:rPr>
          <w:rFonts w:ascii="Arial Narrow" w:hAnsi="Arial Narrow" w:cs="Arial"/>
          <w:color w:val="000000" w:themeColor="text1"/>
          <w:sz w:val="22"/>
          <w:szCs w:val="22"/>
          <w:lang w:val="es-ES_tradnl"/>
        </w:rPr>
        <w:t>o del artículo 1 d</w:t>
      </w:r>
      <w:r w:rsidR="007730B6">
        <w:rPr>
          <w:rFonts w:ascii="Arial Narrow" w:hAnsi="Arial Narrow" w:cs="Arial"/>
          <w:color w:val="000000" w:themeColor="text1"/>
          <w:sz w:val="22"/>
          <w:szCs w:val="22"/>
          <w:lang w:val="es-ES_tradnl"/>
        </w:rPr>
        <w:t>e la misma resolución.</w:t>
      </w:r>
    </w:p>
    <w:p w14:paraId="6E6D52CB" w14:textId="0342ECDE" w:rsidR="004F1C7F" w:rsidRPr="00077FC7" w:rsidRDefault="004F1C7F" w:rsidP="00077FC7">
      <w:pPr>
        <w:spacing w:line="264" w:lineRule="auto"/>
        <w:jc w:val="both"/>
        <w:rPr>
          <w:rFonts w:ascii="Arial Narrow" w:hAnsi="Arial Narrow" w:cs="Arial"/>
          <w:color w:val="000000" w:themeColor="text1"/>
          <w:sz w:val="22"/>
          <w:szCs w:val="22"/>
          <w:lang w:val="es-ES_tradnl"/>
        </w:rPr>
      </w:pPr>
    </w:p>
    <w:p w14:paraId="5E6F4B6D" w14:textId="551BE71D" w:rsidR="004F1C7F" w:rsidRPr="00077FC7" w:rsidRDefault="004F1C7F" w:rsidP="00077FC7">
      <w:pPr>
        <w:spacing w:line="264" w:lineRule="auto"/>
        <w:jc w:val="both"/>
        <w:rPr>
          <w:rFonts w:ascii="Arial Narrow" w:hAnsi="Arial Narrow" w:cs="Arial"/>
          <w:color w:val="000000" w:themeColor="text1"/>
          <w:sz w:val="22"/>
          <w:szCs w:val="22"/>
          <w:lang w:val="es-ES_tradnl"/>
        </w:rPr>
      </w:pPr>
    </w:p>
    <w:p w14:paraId="45C30F8D" w14:textId="2DECC13D" w:rsidR="00D33991" w:rsidRPr="00077FC7" w:rsidRDefault="00D33991" w:rsidP="00077FC7">
      <w:pPr>
        <w:spacing w:line="264" w:lineRule="auto"/>
        <w:jc w:val="both"/>
        <w:rPr>
          <w:rFonts w:ascii="Arial Narrow" w:hAnsi="Arial Narrow" w:cs="Arial"/>
          <w:b/>
          <w:color w:val="000000" w:themeColor="text1"/>
          <w:sz w:val="22"/>
          <w:szCs w:val="22"/>
          <w:lang w:val="es-ES_tradnl"/>
        </w:rPr>
      </w:pPr>
      <w:r w:rsidRPr="00077FC7">
        <w:rPr>
          <w:rFonts w:ascii="Arial Narrow" w:hAnsi="Arial Narrow" w:cs="Arial"/>
          <w:b/>
          <w:color w:val="000000" w:themeColor="text1"/>
          <w:sz w:val="22"/>
          <w:szCs w:val="22"/>
          <w:lang w:val="es-ES_tradnl"/>
        </w:rPr>
        <w:t>3.</w:t>
      </w:r>
      <w:r w:rsidRPr="00077FC7">
        <w:rPr>
          <w:rFonts w:ascii="Arial Narrow" w:hAnsi="Arial Narrow" w:cs="Arial"/>
          <w:b/>
          <w:color w:val="000000" w:themeColor="text1"/>
          <w:sz w:val="22"/>
          <w:szCs w:val="22"/>
          <w:lang w:val="es-ES_tradnl"/>
        </w:rPr>
        <w:tab/>
        <w:t xml:space="preserve">Estudio preliminar de viabilidad jurídica de la expedición de la norma </w:t>
      </w:r>
    </w:p>
    <w:p w14:paraId="6EBDFD53" w14:textId="616DF885" w:rsidR="00917D03" w:rsidRPr="00077FC7" w:rsidRDefault="00917D03" w:rsidP="00077FC7">
      <w:pPr>
        <w:spacing w:line="264" w:lineRule="auto"/>
        <w:jc w:val="both"/>
        <w:rPr>
          <w:rFonts w:ascii="Arial Narrow" w:hAnsi="Arial Narrow" w:cs="Arial"/>
          <w:b/>
          <w:color w:val="000000" w:themeColor="text1"/>
          <w:sz w:val="22"/>
          <w:szCs w:val="22"/>
          <w:lang w:val="es-ES_tradnl"/>
        </w:rPr>
      </w:pPr>
    </w:p>
    <w:p w14:paraId="0BD16427" w14:textId="34E11919" w:rsidR="00917D03" w:rsidRPr="00077FC7" w:rsidRDefault="006F71F5" w:rsidP="00077FC7">
      <w:pPr>
        <w:spacing w:line="264" w:lineRule="auto"/>
        <w:ind w:left="-142"/>
        <w:jc w:val="both"/>
        <w:outlineLvl w:val="0"/>
        <w:rPr>
          <w:rFonts w:ascii="Arial Narrow" w:hAnsi="Arial Narrow" w:cs="Arial"/>
          <w:sz w:val="22"/>
          <w:szCs w:val="22"/>
        </w:rPr>
      </w:pPr>
      <w:r w:rsidRPr="00077FC7">
        <w:rPr>
          <w:rFonts w:ascii="Arial Narrow" w:hAnsi="Arial Narrow" w:cs="Arial"/>
          <w:sz w:val="22"/>
          <w:szCs w:val="22"/>
          <w:lang w:val="es-ES"/>
        </w:rPr>
        <w:t xml:space="preserve">Los artículos 39 y 43 de La Ley 1978 del 25 de julio de 2019, dispusieron la supresión y liquidación de la Autoridad Nacional de Televisión, así como la sustitución de la posición contractual, judicial y administrativa por parte del Ministerio de Tecnologías de la Información y las Comunicaciones. Adicionalmente, la citada Ley en su </w:t>
      </w:r>
      <w:r w:rsidRPr="00077FC7">
        <w:rPr>
          <w:rFonts w:ascii="Arial Narrow" w:hAnsi="Arial Narrow" w:cs="Arial"/>
          <w:sz w:val="22"/>
          <w:szCs w:val="22"/>
        </w:rPr>
        <w:t>artículo 14, modificó el artículo 18 de la Ley 1341 de 2009 estableciendo que es función del Ministerio de Tecnologías de la Informa</w:t>
      </w:r>
      <w:r w:rsidR="004A1748" w:rsidRPr="00077FC7">
        <w:rPr>
          <w:rFonts w:ascii="Arial Narrow" w:hAnsi="Arial Narrow" w:cs="Arial"/>
          <w:sz w:val="22"/>
          <w:szCs w:val="22"/>
        </w:rPr>
        <w:t>ción y las Comunicaciones “Fijar</w:t>
      </w:r>
      <w:r w:rsidRPr="00077FC7">
        <w:rPr>
          <w:rFonts w:ascii="Arial Narrow" w:hAnsi="Arial Narrow" w:cs="Arial"/>
          <w:sz w:val="22"/>
          <w:szCs w:val="22"/>
        </w:rPr>
        <w:t xml:space="preserve"> las tarifas, tasas y derechos, asociados a la concesión, a que se refiere la Ley 182 de 1995”</w:t>
      </w:r>
    </w:p>
    <w:p w14:paraId="64107A49" w14:textId="4C86280E" w:rsidR="00917D03" w:rsidRPr="00077FC7" w:rsidRDefault="00917D03" w:rsidP="00077FC7">
      <w:pPr>
        <w:spacing w:line="264" w:lineRule="auto"/>
        <w:ind w:left="-142"/>
        <w:jc w:val="both"/>
        <w:outlineLvl w:val="0"/>
        <w:rPr>
          <w:rFonts w:ascii="Arial Narrow" w:hAnsi="Arial Narrow" w:cs="Arial"/>
          <w:sz w:val="22"/>
          <w:szCs w:val="22"/>
          <w:lang w:val="es-ES"/>
        </w:rPr>
      </w:pPr>
    </w:p>
    <w:p w14:paraId="0C31C68D" w14:textId="6DD2AB08" w:rsidR="00917D03" w:rsidRPr="00077FC7" w:rsidRDefault="001A536C" w:rsidP="007730B6">
      <w:pPr>
        <w:spacing w:line="264" w:lineRule="auto"/>
        <w:ind w:left="-142"/>
        <w:jc w:val="both"/>
        <w:outlineLvl w:val="0"/>
        <w:rPr>
          <w:rFonts w:ascii="Arial Narrow" w:hAnsi="Arial Narrow" w:cs="Arial"/>
          <w:sz w:val="22"/>
          <w:szCs w:val="22"/>
          <w:lang w:val="es-ES"/>
        </w:rPr>
      </w:pPr>
      <w:r w:rsidRPr="00077FC7">
        <w:rPr>
          <w:rFonts w:ascii="Arial Narrow" w:hAnsi="Arial Narrow" w:cs="Arial"/>
          <w:sz w:val="22"/>
          <w:szCs w:val="22"/>
          <w:lang w:val="es-ES"/>
        </w:rPr>
        <w:t xml:space="preserve">Las tarifas de Compensación y Componente variable establecidas en la Resolución ANTV 1813 de 2017, deben ser actualizadas en cada vigencia de acuerdo con </w:t>
      </w:r>
      <w:proofErr w:type="gramStart"/>
      <w:r w:rsidRPr="00077FC7">
        <w:rPr>
          <w:rFonts w:ascii="Arial Narrow" w:hAnsi="Arial Narrow" w:cs="Arial"/>
          <w:sz w:val="22"/>
          <w:szCs w:val="22"/>
          <w:lang w:val="es-ES"/>
        </w:rPr>
        <w:t xml:space="preserve">las metodología </w:t>
      </w:r>
      <w:r w:rsidR="007730B6">
        <w:rPr>
          <w:rFonts w:ascii="Arial Narrow" w:hAnsi="Arial Narrow" w:cs="Arial"/>
          <w:sz w:val="22"/>
          <w:szCs w:val="22"/>
          <w:lang w:val="es-ES"/>
        </w:rPr>
        <w:t>definida</w:t>
      </w:r>
      <w:proofErr w:type="gramEnd"/>
      <w:r w:rsidR="007730B6">
        <w:rPr>
          <w:rFonts w:ascii="Arial Narrow" w:hAnsi="Arial Narrow" w:cs="Arial"/>
          <w:sz w:val="22"/>
          <w:szCs w:val="22"/>
          <w:lang w:val="es-ES"/>
        </w:rPr>
        <w:t xml:space="preserve"> en la misma. </w:t>
      </w:r>
    </w:p>
    <w:p w14:paraId="506602AE" w14:textId="77777777" w:rsidR="00D33991" w:rsidRPr="00077FC7" w:rsidRDefault="00D33991" w:rsidP="00077FC7">
      <w:pPr>
        <w:spacing w:line="264" w:lineRule="auto"/>
        <w:contextualSpacing/>
        <w:jc w:val="both"/>
        <w:rPr>
          <w:rFonts w:ascii="Arial Narrow" w:hAnsi="Arial Narrow" w:cs="Arial"/>
          <w:color w:val="000000" w:themeColor="text1"/>
          <w:sz w:val="22"/>
          <w:szCs w:val="22"/>
        </w:rPr>
      </w:pPr>
    </w:p>
    <w:p w14:paraId="0BFF3D84" w14:textId="7B80B9C5" w:rsidR="00D33991" w:rsidRPr="00077FC7" w:rsidRDefault="00D33991" w:rsidP="00077FC7">
      <w:pPr>
        <w:spacing w:line="264" w:lineRule="auto"/>
        <w:jc w:val="both"/>
        <w:rPr>
          <w:rFonts w:ascii="Arial Narrow" w:hAnsi="Arial Narrow" w:cs="Arial"/>
          <w:b/>
          <w:color w:val="000000" w:themeColor="text1"/>
          <w:sz w:val="22"/>
          <w:szCs w:val="22"/>
        </w:rPr>
      </w:pPr>
      <w:r w:rsidRPr="00077FC7">
        <w:rPr>
          <w:rFonts w:ascii="Arial Narrow" w:hAnsi="Arial Narrow" w:cs="Arial"/>
          <w:b/>
          <w:color w:val="000000" w:themeColor="text1"/>
          <w:sz w:val="22"/>
          <w:szCs w:val="22"/>
          <w:lang w:eastAsia="en-US"/>
        </w:rPr>
        <w:t>3.</w:t>
      </w:r>
      <w:r w:rsidR="00E30A0E" w:rsidRPr="00077FC7">
        <w:rPr>
          <w:rFonts w:ascii="Arial Narrow" w:hAnsi="Arial Narrow" w:cs="Arial"/>
          <w:b/>
          <w:color w:val="000000" w:themeColor="text1"/>
          <w:sz w:val="22"/>
          <w:szCs w:val="22"/>
          <w:lang w:eastAsia="en-US"/>
        </w:rPr>
        <w:t>1</w:t>
      </w:r>
      <w:r w:rsidRPr="00077FC7">
        <w:rPr>
          <w:rFonts w:ascii="Arial Narrow" w:hAnsi="Arial Narrow" w:cs="Arial"/>
          <w:b/>
          <w:color w:val="000000" w:themeColor="text1"/>
          <w:sz w:val="22"/>
          <w:szCs w:val="22"/>
          <w:lang w:eastAsia="en-US"/>
        </w:rPr>
        <w:t>.</w:t>
      </w:r>
      <w:r w:rsidRPr="00077FC7">
        <w:rPr>
          <w:rFonts w:ascii="Arial Narrow" w:hAnsi="Arial Narrow" w:cs="Arial"/>
          <w:b/>
          <w:color w:val="000000" w:themeColor="text1"/>
          <w:sz w:val="22"/>
          <w:szCs w:val="22"/>
          <w:lang w:eastAsia="en-US"/>
        </w:rPr>
        <w:tab/>
        <w:t xml:space="preserve">Vigencia de la ley o norma reglamentada o desarrollada con el </w:t>
      </w:r>
      <w:r w:rsidRPr="00077FC7">
        <w:rPr>
          <w:rFonts w:ascii="Arial Narrow" w:hAnsi="Arial Narrow" w:cs="Arial"/>
          <w:b/>
          <w:color w:val="000000" w:themeColor="text1"/>
          <w:sz w:val="22"/>
          <w:szCs w:val="22"/>
          <w:lang w:val="es-ES_tradnl"/>
        </w:rPr>
        <w:t>acto administrativo</w:t>
      </w:r>
    </w:p>
    <w:p w14:paraId="1463BBBF" w14:textId="77777777" w:rsidR="001A536C" w:rsidRPr="00077FC7" w:rsidRDefault="001A536C" w:rsidP="00077FC7">
      <w:pPr>
        <w:spacing w:line="264" w:lineRule="auto"/>
        <w:jc w:val="both"/>
        <w:rPr>
          <w:rFonts w:ascii="Arial Narrow" w:hAnsi="Arial Narrow" w:cs="Arial"/>
          <w:b/>
          <w:color w:val="000000" w:themeColor="text1"/>
          <w:sz w:val="22"/>
          <w:szCs w:val="22"/>
        </w:rPr>
      </w:pPr>
    </w:p>
    <w:p w14:paraId="616723B6" w14:textId="5237B700" w:rsidR="0097044A" w:rsidRPr="00077FC7" w:rsidRDefault="0097044A" w:rsidP="00077FC7">
      <w:pPr>
        <w:spacing w:line="264" w:lineRule="auto"/>
        <w:ind w:left="-142"/>
        <w:jc w:val="both"/>
        <w:outlineLvl w:val="0"/>
        <w:rPr>
          <w:rFonts w:ascii="Arial Narrow" w:hAnsi="Arial Narrow" w:cs="Arial"/>
          <w:sz w:val="22"/>
          <w:szCs w:val="22"/>
          <w:lang w:val="es-ES"/>
        </w:rPr>
      </w:pPr>
      <w:r w:rsidRPr="00077FC7">
        <w:rPr>
          <w:rFonts w:ascii="Arial Narrow" w:hAnsi="Arial Narrow" w:cs="Arial"/>
          <w:sz w:val="22"/>
          <w:szCs w:val="22"/>
          <w:lang w:val="es-ES"/>
        </w:rPr>
        <w:t>Resolución ANTV 1813 de 2017</w:t>
      </w:r>
      <w:r w:rsidR="007730B6">
        <w:rPr>
          <w:rFonts w:ascii="Arial Narrow" w:hAnsi="Arial Narrow" w:cs="Arial"/>
          <w:sz w:val="22"/>
          <w:szCs w:val="22"/>
          <w:lang w:val="es-ES"/>
        </w:rPr>
        <w:t xml:space="preserve"> es un acto administrativo vigente</w:t>
      </w:r>
      <w:r w:rsidRPr="00077FC7">
        <w:rPr>
          <w:rFonts w:ascii="Arial Narrow" w:hAnsi="Arial Narrow" w:cs="Arial"/>
          <w:sz w:val="22"/>
          <w:szCs w:val="22"/>
          <w:lang w:val="es-ES"/>
        </w:rPr>
        <w:t xml:space="preserve"> constitutivo de las tarifas que </w:t>
      </w:r>
      <w:r w:rsidR="005808AA">
        <w:rPr>
          <w:rFonts w:ascii="Arial Narrow" w:hAnsi="Arial Narrow" w:cs="Arial"/>
          <w:sz w:val="22"/>
          <w:szCs w:val="22"/>
          <w:lang w:val="es-ES"/>
        </w:rPr>
        <w:t xml:space="preserve">actualizan </w:t>
      </w:r>
      <w:r w:rsidRPr="00077FC7">
        <w:rPr>
          <w:rFonts w:ascii="Arial Narrow" w:hAnsi="Arial Narrow" w:cs="Arial"/>
          <w:sz w:val="22"/>
          <w:szCs w:val="22"/>
          <w:lang w:val="es-ES"/>
        </w:rPr>
        <w:t>aplica</w:t>
      </w:r>
      <w:r w:rsidR="005808AA">
        <w:rPr>
          <w:rFonts w:ascii="Arial Narrow" w:hAnsi="Arial Narrow" w:cs="Arial"/>
          <w:sz w:val="22"/>
          <w:szCs w:val="22"/>
          <w:lang w:val="es-ES"/>
        </w:rPr>
        <w:t>ndo</w:t>
      </w:r>
      <w:r w:rsidRPr="00077FC7">
        <w:rPr>
          <w:rFonts w:ascii="Arial Narrow" w:hAnsi="Arial Narrow" w:cs="Arial"/>
          <w:sz w:val="22"/>
          <w:szCs w:val="22"/>
          <w:lang w:val="es-ES"/>
        </w:rPr>
        <w:t xml:space="preserve"> la metodología en ell</w:t>
      </w:r>
      <w:r w:rsidR="005808AA">
        <w:rPr>
          <w:rFonts w:ascii="Arial Narrow" w:hAnsi="Arial Narrow" w:cs="Arial"/>
          <w:sz w:val="22"/>
          <w:szCs w:val="22"/>
          <w:lang w:val="es-ES"/>
        </w:rPr>
        <w:t xml:space="preserve">a </w:t>
      </w:r>
      <w:r w:rsidRPr="00077FC7">
        <w:rPr>
          <w:rFonts w:ascii="Arial Narrow" w:hAnsi="Arial Narrow" w:cs="Arial"/>
          <w:sz w:val="22"/>
          <w:szCs w:val="22"/>
          <w:lang w:val="es-ES"/>
        </w:rPr>
        <w:t>prevista.</w:t>
      </w:r>
    </w:p>
    <w:p w14:paraId="3A80A747" w14:textId="77777777" w:rsidR="00917D03" w:rsidRPr="00077FC7" w:rsidRDefault="00917D03" w:rsidP="00077FC7">
      <w:pPr>
        <w:spacing w:line="264" w:lineRule="auto"/>
        <w:jc w:val="both"/>
        <w:rPr>
          <w:rFonts w:ascii="Arial Narrow" w:hAnsi="Arial Narrow" w:cs="Arial"/>
          <w:color w:val="000000" w:themeColor="text1"/>
          <w:sz w:val="22"/>
          <w:szCs w:val="22"/>
          <w:lang w:val="es-ES_tradnl"/>
        </w:rPr>
      </w:pPr>
    </w:p>
    <w:p w14:paraId="59E7BAC2" w14:textId="38C1F099" w:rsidR="00D33991" w:rsidRPr="00077FC7" w:rsidRDefault="00D33991" w:rsidP="00077FC7">
      <w:pPr>
        <w:spacing w:line="264" w:lineRule="auto"/>
        <w:ind w:left="705" w:hanging="705"/>
        <w:jc w:val="both"/>
        <w:rPr>
          <w:rFonts w:ascii="Arial Narrow" w:hAnsi="Arial Narrow" w:cs="Arial"/>
          <w:b/>
          <w:color w:val="000000" w:themeColor="text1"/>
          <w:sz w:val="22"/>
          <w:szCs w:val="22"/>
        </w:rPr>
      </w:pPr>
      <w:r w:rsidRPr="00077FC7">
        <w:rPr>
          <w:rFonts w:ascii="Arial Narrow" w:hAnsi="Arial Narrow" w:cs="Arial"/>
          <w:b/>
          <w:color w:val="000000" w:themeColor="text1"/>
          <w:sz w:val="22"/>
          <w:szCs w:val="22"/>
          <w:lang w:eastAsia="en-US"/>
        </w:rPr>
        <w:t>3.</w:t>
      </w:r>
      <w:r w:rsidR="00E30A0E" w:rsidRPr="00077FC7">
        <w:rPr>
          <w:rFonts w:ascii="Arial Narrow" w:hAnsi="Arial Narrow" w:cs="Arial"/>
          <w:b/>
          <w:color w:val="000000" w:themeColor="text1"/>
          <w:sz w:val="22"/>
          <w:szCs w:val="22"/>
          <w:lang w:eastAsia="en-US"/>
        </w:rPr>
        <w:t>2</w:t>
      </w:r>
      <w:r w:rsidRPr="00077FC7">
        <w:rPr>
          <w:rFonts w:ascii="Arial Narrow" w:hAnsi="Arial Narrow" w:cs="Arial"/>
          <w:b/>
          <w:color w:val="000000" w:themeColor="text1"/>
          <w:sz w:val="22"/>
          <w:szCs w:val="22"/>
          <w:lang w:eastAsia="en-US"/>
        </w:rPr>
        <w:t>.</w:t>
      </w:r>
      <w:r w:rsidRPr="00077FC7">
        <w:rPr>
          <w:rFonts w:ascii="Arial Narrow" w:hAnsi="Arial Narrow" w:cs="Arial"/>
          <w:b/>
          <w:color w:val="000000" w:themeColor="text1"/>
          <w:sz w:val="22"/>
          <w:szCs w:val="22"/>
          <w:lang w:eastAsia="en-US"/>
        </w:rPr>
        <w:tab/>
        <w:t xml:space="preserve">Disposiciones que se derogan, subrogan, modifican, adicionan o desarrollan con el </w:t>
      </w:r>
      <w:r w:rsidRPr="00077FC7">
        <w:rPr>
          <w:rFonts w:ascii="Arial Narrow" w:hAnsi="Arial Narrow" w:cs="Arial"/>
          <w:b/>
          <w:color w:val="000000" w:themeColor="text1"/>
          <w:sz w:val="22"/>
          <w:szCs w:val="22"/>
          <w:lang w:val="es-ES_tradnl"/>
        </w:rPr>
        <w:t>acto administrativo</w:t>
      </w:r>
    </w:p>
    <w:p w14:paraId="526B7232" w14:textId="3E745B0F" w:rsidR="00917D03" w:rsidRDefault="00917D03" w:rsidP="00077FC7">
      <w:pPr>
        <w:spacing w:line="264" w:lineRule="auto"/>
        <w:jc w:val="both"/>
        <w:rPr>
          <w:rFonts w:ascii="Arial Narrow" w:hAnsi="Arial Narrow" w:cs="Arial"/>
          <w:sz w:val="22"/>
          <w:szCs w:val="22"/>
        </w:rPr>
      </w:pPr>
    </w:p>
    <w:p w14:paraId="383D5D0F" w14:textId="720D87FC" w:rsidR="00E72108" w:rsidRPr="00077FC7" w:rsidRDefault="005808AA" w:rsidP="005808AA">
      <w:pPr>
        <w:spacing w:line="264" w:lineRule="auto"/>
        <w:jc w:val="both"/>
        <w:rPr>
          <w:rFonts w:ascii="Arial Narrow" w:hAnsi="Arial Narrow" w:cs="Arial"/>
          <w:sz w:val="22"/>
          <w:szCs w:val="22"/>
          <w:lang w:val="es-ES"/>
        </w:rPr>
      </w:pPr>
      <w:r>
        <w:rPr>
          <w:rFonts w:ascii="Arial Narrow" w:hAnsi="Arial Narrow" w:cs="Arial"/>
          <w:sz w:val="22"/>
          <w:szCs w:val="22"/>
        </w:rPr>
        <w:t xml:space="preserve">La resolución de actualización de tarifas </w:t>
      </w:r>
      <w:r w:rsidR="0097044A" w:rsidRPr="00077FC7">
        <w:rPr>
          <w:rFonts w:ascii="Arial Narrow" w:hAnsi="Arial Narrow" w:cs="Arial"/>
          <w:sz w:val="22"/>
          <w:szCs w:val="22"/>
          <w:lang w:val="es-ES"/>
        </w:rPr>
        <w:t xml:space="preserve">de Compensación y de Componente variable de la concesión de TV por suscripción establecidos en la Resolución 1813 de 2017 </w:t>
      </w:r>
      <w:r>
        <w:rPr>
          <w:rFonts w:ascii="Arial Narrow" w:hAnsi="Arial Narrow" w:cs="Arial"/>
          <w:sz w:val="22"/>
          <w:szCs w:val="22"/>
          <w:lang w:val="es-ES"/>
        </w:rPr>
        <w:t>aplica para la vigencia 2020 y no deroga, modifica ni adiciona una disposición normativa.</w:t>
      </w:r>
    </w:p>
    <w:p w14:paraId="35553AA8" w14:textId="77777777" w:rsidR="00E72108" w:rsidRPr="00077FC7" w:rsidRDefault="00E72108" w:rsidP="00077FC7">
      <w:pPr>
        <w:spacing w:line="264" w:lineRule="auto"/>
        <w:jc w:val="both"/>
        <w:rPr>
          <w:rFonts w:ascii="Arial Narrow" w:hAnsi="Arial Narrow" w:cs="Arial"/>
          <w:color w:val="000000" w:themeColor="text1"/>
          <w:sz w:val="22"/>
          <w:szCs w:val="22"/>
        </w:rPr>
      </w:pPr>
    </w:p>
    <w:p w14:paraId="033E9E64" w14:textId="64FBEC7A" w:rsidR="000B72DC" w:rsidRPr="00077FC7" w:rsidRDefault="00D33991" w:rsidP="00077FC7">
      <w:pPr>
        <w:spacing w:line="264" w:lineRule="auto"/>
        <w:ind w:left="705" w:hanging="705"/>
        <w:jc w:val="both"/>
        <w:rPr>
          <w:rFonts w:ascii="Arial Narrow" w:hAnsi="Arial Narrow" w:cs="Arial"/>
          <w:b/>
          <w:color w:val="000000" w:themeColor="text1"/>
          <w:sz w:val="22"/>
          <w:szCs w:val="22"/>
        </w:rPr>
      </w:pPr>
      <w:r w:rsidRPr="00077FC7">
        <w:rPr>
          <w:rFonts w:ascii="Arial Narrow" w:hAnsi="Arial Narrow" w:cs="Arial"/>
          <w:b/>
          <w:color w:val="000000" w:themeColor="text1"/>
          <w:sz w:val="22"/>
          <w:szCs w:val="22"/>
        </w:rPr>
        <w:t>3.</w:t>
      </w:r>
      <w:r w:rsidR="00E30A0E" w:rsidRPr="00077FC7">
        <w:rPr>
          <w:rFonts w:ascii="Arial Narrow" w:hAnsi="Arial Narrow" w:cs="Arial"/>
          <w:b/>
          <w:color w:val="000000" w:themeColor="text1"/>
          <w:sz w:val="22"/>
          <w:szCs w:val="22"/>
        </w:rPr>
        <w:t>3</w:t>
      </w:r>
      <w:r w:rsidRPr="00077FC7">
        <w:rPr>
          <w:rFonts w:ascii="Arial Narrow" w:hAnsi="Arial Narrow" w:cs="Arial"/>
          <w:b/>
          <w:color w:val="000000" w:themeColor="text1"/>
          <w:sz w:val="22"/>
          <w:szCs w:val="22"/>
        </w:rPr>
        <w:t>.</w:t>
      </w:r>
      <w:r w:rsidRPr="00077FC7">
        <w:rPr>
          <w:rFonts w:ascii="Arial Narrow" w:hAnsi="Arial Narrow" w:cs="Arial"/>
          <w:color w:val="000000" w:themeColor="text1"/>
          <w:sz w:val="22"/>
          <w:szCs w:val="22"/>
        </w:rPr>
        <w:tab/>
      </w:r>
      <w:r w:rsidRPr="00077FC7">
        <w:rPr>
          <w:rFonts w:ascii="Arial Narrow" w:hAnsi="Arial Narrow" w:cs="Arial"/>
          <w:b/>
          <w:color w:val="000000" w:themeColor="text1"/>
          <w:sz w:val="22"/>
          <w:szCs w:val="22"/>
        </w:rPr>
        <w:t>Revisión y análisis de las decisiones judiciales de los órganos de cierre de cada jurisdicción que pueden tener impacto o ser relevantes para la expedición del acto</w:t>
      </w:r>
    </w:p>
    <w:p w14:paraId="7D6674A4" w14:textId="77777777" w:rsidR="0097044A" w:rsidRPr="00077FC7" w:rsidRDefault="0097044A" w:rsidP="00077FC7">
      <w:pPr>
        <w:spacing w:line="264" w:lineRule="auto"/>
        <w:ind w:left="705" w:hanging="705"/>
        <w:jc w:val="both"/>
        <w:rPr>
          <w:rFonts w:ascii="Arial Narrow" w:hAnsi="Arial Narrow" w:cs="Arial"/>
          <w:b/>
          <w:color w:val="000000" w:themeColor="text1"/>
          <w:sz w:val="22"/>
          <w:szCs w:val="22"/>
        </w:rPr>
      </w:pPr>
    </w:p>
    <w:p w14:paraId="2904986B" w14:textId="5FDA96D4" w:rsidR="0097044A" w:rsidRPr="00077FC7" w:rsidRDefault="0097044A" w:rsidP="00077FC7">
      <w:pPr>
        <w:shd w:val="clear" w:color="auto" w:fill="FFFFFF"/>
        <w:spacing w:line="264" w:lineRule="auto"/>
        <w:jc w:val="both"/>
        <w:rPr>
          <w:rFonts w:ascii="Arial Narrow" w:eastAsia="Times New Roman" w:hAnsi="Arial Narrow" w:cs="Calibri"/>
          <w:color w:val="000000"/>
          <w:sz w:val="22"/>
          <w:szCs w:val="22"/>
          <w:bdr w:val="none" w:sz="0" w:space="0" w:color="auto" w:frame="1"/>
          <w:lang w:val="es-ES" w:eastAsia="es-ES"/>
        </w:rPr>
      </w:pPr>
      <w:r w:rsidRPr="00077FC7">
        <w:rPr>
          <w:rFonts w:ascii="Arial Narrow" w:eastAsia="Times New Roman" w:hAnsi="Arial Narrow" w:cs="Calibri"/>
          <w:color w:val="000000"/>
          <w:sz w:val="22"/>
          <w:szCs w:val="22"/>
          <w:bdr w:val="none" w:sz="0" w:space="0" w:color="auto" w:frame="1"/>
          <w:lang w:val="es-ES" w:eastAsia="es-ES"/>
        </w:rPr>
        <w:t xml:space="preserve">Considerando la naturaleza declarativa del Resoluciones de actualización proyectadas es permitente considerar lo señalado por el Consejo de Estado (Sala de lo Contencioso Administrativo – Sección Primera) en pronunciamiento del 11 de diciembre de 2006 (Radicación 76001-23-31-000-2001-02199-01) donde indica que de manera excepcional  los actos </w:t>
      </w:r>
      <w:r w:rsidRPr="00077FC7">
        <w:rPr>
          <w:rFonts w:ascii="Arial Narrow" w:eastAsia="Times New Roman" w:hAnsi="Arial Narrow" w:cs="Calibri"/>
          <w:color w:val="000000"/>
          <w:sz w:val="22"/>
          <w:szCs w:val="22"/>
          <w:bdr w:val="none" w:sz="0" w:space="0" w:color="auto" w:frame="1"/>
          <w:lang w:val="es-ES" w:eastAsia="es-ES"/>
        </w:rPr>
        <w:lastRenderedPageBreak/>
        <w:t>administrativos pueden tener efectos hacia el pasado cuando su contenido es declarativo y no constitutivo.   Actos declarativos en tanto contienen la declaración o reconocimiento de la ocurrencia de un hecho y de sus consecuencias jurídicas.</w:t>
      </w:r>
    </w:p>
    <w:p w14:paraId="1ABD6E72" w14:textId="77777777" w:rsidR="00BC6B46" w:rsidRPr="00077FC7" w:rsidRDefault="00BC6B46" w:rsidP="00077FC7">
      <w:pPr>
        <w:shd w:val="clear" w:color="auto" w:fill="FFFFFF"/>
        <w:spacing w:line="264" w:lineRule="auto"/>
        <w:jc w:val="both"/>
        <w:rPr>
          <w:rFonts w:ascii="Arial Narrow" w:eastAsia="Times New Roman" w:hAnsi="Arial Narrow" w:cs="Calibri"/>
          <w:color w:val="000000"/>
          <w:sz w:val="22"/>
          <w:szCs w:val="22"/>
          <w:lang w:val="es-ES" w:eastAsia="es-ES"/>
        </w:rPr>
      </w:pPr>
    </w:p>
    <w:p w14:paraId="30580D13" w14:textId="2AEBC8C8" w:rsidR="0097044A" w:rsidRPr="00077FC7" w:rsidRDefault="0097044A" w:rsidP="00077FC7">
      <w:pPr>
        <w:shd w:val="clear" w:color="auto" w:fill="FFFFFF"/>
        <w:spacing w:line="264" w:lineRule="auto"/>
        <w:jc w:val="both"/>
        <w:rPr>
          <w:rFonts w:ascii="Arial Narrow" w:eastAsia="Times New Roman" w:hAnsi="Arial Narrow" w:cs="Calibri"/>
          <w:color w:val="000000"/>
          <w:sz w:val="22"/>
          <w:szCs w:val="22"/>
          <w:lang w:val="es-ES" w:eastAsia="es-ES"/>
        </w:rPr>
      </w:pPr>
      <w:r w:rsidRPr="00077FC7">
        <w:rPr>
          <w:rFonts w:ascii="Arial Narrow" w:eastAsia="Times New Roman" w:hAnsi="Arial Narrow" w:cs="Calibri"/>
          <w:color w:val="000000"/>
          <w:sz w:val="22"/>
          <w:szCs w:val="22"/>
          <w:bdr w:val="none" w:sz="0" w:space="0" w:color="auto" w:frame="1"/>
          <w:lang w:val="es-ES" w:eastAsia="es-ES"/>
        </w:rPr>
        <w:t>En este marco</w:t>
      </w:r>
      <w:r w:rsidR="00BC6B46" w:rsidRPr="00077FC7">
        <w:rPr>
          <w:rFonts w:ascii="Arial Narrow" w:eastAsia="Times New Roman" w:hAnsi="Arial Narrow" w:cs="Calibri"/>
          <w:color w:val="000000"/>
          <w:sz w:val="22"/>
          <w:szCs w:val="22"/>
          <w:bdr w:val="none" w:sz="0" w:space="0" w:color="auto" w:frame="1"/>
          <w:lang w:val="es-ES" w:eastAsia="es-ES"/>
        </w:rPr>
        <w:t xml:space="preserve">, debe afirmarse que al actualizar el valor de las tarifas el Ministerio </w:t>
      </w:r>
      <w:r w:rsidRPr="00077FC7">
        <w:rPr>
          <w:rFonts w:ascii="Arial Narrow" w:eastAsia="Times New Roman" w:hAnsi="Arial Narrow" w:cs="Calibri"/>
          <w:color w:val="000000"/>
          <w:sz w:val="22"/>
          <w:szCs w:val="22"/>
          <w:bdr w:val="none" w:sz="0" w:space="0" w:color="auto" w:frame="1"/>
          <w:lang w:val="es-ES" w:eastAsia="es-ES"/>
        </w:rPr>
        <w:t xml:space="preserve">no está constituyendo o modificando el vínculo jurídico que sostiene  con </w:t>
      </w:r>
      <w:r w:rsidR="00BC6B46" w:rsidRPr="00077FC7">
        <w:rPr>
          <w:rFonts w:ascii="Arial Narrow" w:eastAsia="Times New Roman" w:hAnsi="Arial Narrow" w:cs="Calibri"/>
          <w:color w:val="000000"/>
          <w:sz w:val="22"/>
          <w:szCs w:val="22"/>
          <w:bdr w:val="none" w:sz="0" w:space="0" w:color="auto" w:frame="1"/>
          <w:lang w:val="es-ES" w:eastAsia="es-ES"/>
        </w:rPr>
        <w:t>los operadores, en tanto y cuant</w:t>
      </w:r>
      <w:r w:rsidRPr="00077FC7">
        <w:rPr>
          <w:rFonts w:ascii="Arial Narrow" w:eastAsia="Times New Roman" w:hAnsi="Arial Narrow" w:cs="Calibri"/>
          <w:color w:val="000000"/>
          <w:sz w:val="22"/>
          <w:szCs w:val="22"/>
          <w:bdr w:val="none" w:sz="0" w:space="0" w:color="auto" w:frame="1"/>
          <w:lang w:val="es-ES" w:eastAsia="es-ES"/>
        </w:rPr>
        <w:t xml:space="preserve">o la obligación de pagar la compensación y el componente variable de concesión </w:t>
      </w:r>
      <w:r w:rsidR="00BC6B46" w:rsidRPr="00077FC7">
        <w:rPr>
          <w:rFonts w:ascii="Arial Narrow" w:eastAsia="Times New Roman" w:hAnsi="Arial Narrow" w:cs="Calibri"/>
          <w:color w:val="000000"/>
          <w:sz w:val="22"/>
          <w:szCs w:val="22"/>
          <w:bdr w:val="none" w:sz="0" w:space="0" w:color="auto" w:frame="1"/>
          <w:lang w:val="es-ES" w:eastAsia="es-ES"/>
        </w:rPr>
        <w:t>fue establecida</w:t>
      </w:r>
      <w:r w:rsidRPr="00077FC7">
        <w:rPr>
          <w:rFonts w:ascii="Arial Narrow" w:eastAsia="Times New Roman" w:hAnsi="Arial Narrow" w:cs="Calibri"/>
          <w:color w:val="000000"/>
          <w:sz w:val="22"/>
          <w:szCs w:val="22"/>
          <w:bdr w:val="none" w:sz="0" w:space="0" w:color="auto" w:frame="1"/>
          <w:lang w:val="es-ES" w:eastAsia="es-ES"/>
        </w:rPr>
        <w:t>– constituida- en la ley, la regulación y los contratos de manera previa a la expedición de los actos administrativos declarativos de actualización de las tarifas de estas contraprestaciones.</w:t>
      </w:r>
    </w:p>
    <w:p w14:paraId="6AEDE783" w14:textId="77777777" w:rsidR="00D33991" w:rsidRPr="00077FC7" w:rsidRDefault="00D33991" w:rsidP="00077FC7">
      <w:pPr>
        <w:spacing w:line="264" w:lineRule="auto"/>
        <w:ind w:left="705" w:hanging="705"/>
        <w:jc w:val="both"/>
        <w:rPr>
          <w:rFonts w:ascii="Arial Narrow" w:hAnsi="Arial Narrow" w:cs="Arial"/>
          <w:color w:val="000000" w:themeColor="text1"/>
          <w:sz w:val="22"/>
          <w:szCs w:val="22"/>
        </w:rPr>
      </w:pPr>
    </w:p>
    <w:p w14:paraId="625EFA93" w14:textId="77777777" w:rsidR="0097044A" w:rsidRPr="00077FC7" w:rsidRDefault="0097044A" w:rsidP="00077FC7">
      <w:pPr>
        <w:spacing w:line="264" w:lineRule="auto"/>
        <w:jc w:val="both"/>
        <w:rPr>
          <w:rFonts w:ascii="Arial Narrow" w:hAnsi="Arial Narrow" w:cs="Arial"/>
          <w:b/>
          <w:color w:val="000000" w:themeColor="text1"/>
          <w:sz w:val="22"/>
          <w:szCs w:val="22"/>
        </w:rPr>
      </w:pPr>
    </w:p>
    <w:p w14:paraId="43D77D5B" w14:textId="3224619F" w:rsidR="00D33991" w:rsidRPr="00077FC7" w:rsidRDefault="00D33991" w:rsidP="00077FC7">
      <w:pPr>
        <w:spacing w:line="264" w:lineRule="auto"/>
        <w:ind w:left="705" w:hanging="705"/>
        <w:jc w:val="both"/>
        <w:rPr>
          <w:rFonts w:ascii="Arial Narrow" w:hAnsi="Arial Narrow" w:cs="Arial"/>
          <w:b/>
          <w:color w:val="000000" w:themeColor="text1"/>
          <w:sz w:val="22"/>
          <w:szCs w:val="22"/>
        </w:rPr>
      </w:pPr>
      <w:r w:rsidRPr="00077FC7">
        <w:rPr>
          <w:rFonts w:ascii="Arial Narrow" w:hAnsi="Arial Narrow" w:cs="Arial"/>
          <w:b/>
          <w:color w:val="000000" w:themeColor="text1"/>
          <w:sz w:val="22"/>
          <w:szCs w:val="22"/>
        </w:rPr>
        <w:t>3.</w:t>
      </w:r>
      <w:r w:rsidR="00E30A0E" w:rsidRPr="00077FC7">
        <w:rPr>
          <w:rFonts w:ascii="Arial Narrow" w:hAnsi="Arial Narrow" w:cs="Arial"/>
          <w:b/>
          <w:color w:val="000000" w:themeColor="text1"/>
          <w:sz w:val="22"/>
          <w:szCs w:val="22"/>
        </w:rPr>
        <w:t>4</w:t>
      </w:r>
      <w:r w:rsidRPr="00077FC7">
        <w:rPr>
          <w:rFonts w:ascii="Arial Narrow" w:hAnsi="Arial Narrow" w:cs="Arial"/>
          <w:b/>
          <w:color w:val="000000" w:themeColor="text1"/>
          <w:sz w:val="22"/>
          <w:szCs w:val="22"/>
        </w:rPr>
        <w:t>.</w:t>
      </w:r>
      <w:r w:rsidRPr="00077FC7">
        <w:rPr>
          <w:rFonts w:ascii="Arial Narrow" w:hAnsi="Arial Narrow" w:cs="Arial"/>
          <w:color w:val="000000" w:themeColor="text1"/>
          <w:sz w:val="22"/>
          <w:szCs w:val="22"/>
        </w:rPr>
        <w:tab/>
      </w:r>
      <w:r w:rsidRPr="00077FC7">
        <w:rPr>
          <w:rFonts w:ascii="Arial Narrow" w:hAnsi="Arial Narrow" w:cs="Arial"/>
          <w:b/>
          <w:color w:val="000000" w:themeColor="text1"/>
          <w:sz w:val="22"/>
          <w:szCs w:val="22"/>
        </w:rPr>
        <w:t>Advertencia de cualquier otra circunstancia jurídica que pueda ser relevante para la expedición del acto</w:t>
      </w:r>
    </w:p>
    <w:p w14:paraId="3CF0F422" w14:textId="77777777" w:rsidR="00D33991" w:rsidRPr="00077FC7" w:rsidRDefault="00D33991" w:rsidP="00077FC7">
      <w:pPr>
        <w:spacing w:line="264" w:lineRule="auto"/>
        <w:jc w:val="both"/>
        <w:rPr>
          <w:rFonts w:ascii="Arial Narrow" w:hAnsi="Arial Narrow" w:cs="Arial"/>
          <w:color w:val="000000" w:themeColor="text1"/>
          <w:sz w:val="22"/>
          <w:szCs w:val="22"/>
        </w:rPr>
      </w:pPr>
    </w:p>
    <w:p w14:paraId="32825987" w14:textId="48FDA7C8" w:rsidR="00BC6B46" w:rsidRPr="00077FC7" w:rsidRDefault="00BC6B46" w:rsidP="00077FC7">
      <w:pPr>
        <w:spacing w:line="264" w:lineRule="auto"/>
        <w:jc w:val="both"/>
        <w:rPr>
          <w:rFonts w:ascii="Arial Narrow" w:hAnsi="Arial Narrow" w:cs="Arial"/>
          <w:color w:val="000000" w:themeColor="text1"/>
          <w:sz w:val="22"/>
          <w:szCs w:val="22"/>
        </w:rPr>
      </w:pPr>
      <w:r w:rsidRPr="00077FC7">
        <w:rPr>
          <w:rFonts w:ascii="Arial Narrow" w:hAnsi="Arial Narrow" w:cs="Arial"/>
          <w:color w:val="000000" w:themeColor="text1"/>
          <w:sz w:val="22"/>
          <w:szCs w:val="22"/>
        </w:rPr>
        <w:t xml:space="preserve">En atención a lo previamente expuesto en numeral 3.3 del presente documento, los actos administrativos proyectados tendrán </w:t>
      </w:r>
      <w:r w:rsidR="005808AA">
        <w:rPr>
          <w:rFonts w:ascii="Arial Narrow" w:hAnsi="Arial Narrow" w:cs="Arial"/>
          <w:color w:val="000000" w:themeColor="text1"/>
          <w:sz w:val="22"/>
          <w:szCs w:val="22"/>
        </w:rPr>
        <w:t xml:space="preserve">efecto retroactivo </w:t>
      </w:r>
      <w:r w:rsidRPr="00077FC7">
        <w:rPr>
          <w:rFonts w:ascii="Arial Narrow" w:hAnsi="Arial Narrow" w:cs="Arial"/>
          <w:color w:val="000000" w:themeColor="text1"/>
          <w:sz w:val="22"/>
          <w:szCs w:val="22"/>
        </w:rPr>
        <w:t>a partir del 1 de enero de 2020.</w:t>
      </w:r>
    </w:p>
    <w:p w14:paraId="0ADBDE42" w14:textId="12EFAD3F" w:rsidR="004167B3" w:rsidRPr="00077FC7" w:rsidRDefault="004167B3" w:rsidP="00077FC7">
      <w:pPr>
        <w:spacing w:line="264" w:lineRule="auto"/>
        <w:jc w:val="both"/>
        <w:rPr>
          <w:rFonts w:ascii="Arial Narrow" w:hAnsi="Arial Narrow" w:cs="Arial"/>
          <w:color w:val="000000" w:themeColor="text1"/>
          <w:sz w:val="22"/>
          <w:szCs w:val="22"/>
        </w:rPr>
      </w:pPr>
    </w:p>
    <w:p w14:paraId="18E1D375" w14:textId="77777777" w:rsidR="00D33991" w:rsidRPr="00077FC7" w:rsidRDefault="00D33991" w:rsidP="00077FC7">
      <w:pPr>
        <w:spacing w:line="264" w:lineRule="auto"/>
        <w:jc w:val="both"/>
        <w:rPr>
          <w:rFonts w:ascii="Arial Narrow" w:hAnsi="Arial Narrow" w:cs="Arial"/>
          <w:b/>
          <w:color w:val="000000" w:themeColor="text1"/>
          <w:sz w:val="22"/>
          <w:szCs w:val="22"/>
          <w:lang w:val="es-ES_tradnl"/>
        </w:rPr>
      </w:pPr>
      <w:r w:rsidRPr="00077FC7">
        <w:rPr>
          <w:rFonts w:ascii="Arial Narrow" w:hAnsi="Arial Narrow" w:cs="Arial"/>
          <w:b/>
          <w:color w:val="000000" w:themeColor="text1"/>
          <w:sz w:val="22"/>
          <w:szCs w:val="22"/>
          <w:lang w:val="es-ES_tradnl"/>
        </w:rPr>
        <w:t>4.</w:t>
      </w:r>
      <w:r w:rsidRPr="00077FC7">
        <w:rPr>
          <w:rFonts w:ascii="Arial Narrow" w:hAnsi="Arial Narrow" w:cs="Arial"/>
          <w:b/>
          <w:color w:val="000000" w:themeColor="text1"/>
          <w:sz w:val="22"/>
          <w:szCs w:val="22"/>
          <w:lang w:val="es-ES_tradnl"/>
        </w:rPr>
        <w:tab/>
        <w:t>Estudio preliminar sobre posible impacto económico de la norma a expedir</w:t>
      </w:r>
    </w:p>
    <w:p w14:paraId="2A79F590" w14:textId="77777777" w:rsidR="00D33991" w:rsidRPr="005808AA" w:rsidRDefault="00D33991" w:rsidP="00077FC7">
      <w:pPr>
        <w:autoSpaceDE w:val="0"/>
        <w:autoSpaceDN w:val="0"/>
        <w:adjustRightInd w:val="0"/>
        <w:spacing w:line="264" w:lineRule="auto"/>
        <w:jc w:val="both"/>
        <w:rPr>
          <w:rFonts w:ascii="Arial Narrow" w:hAnsi="Arial Narrow" w:cs="Arial"/>
          <w:color w:val="000000" w:themeColor="text1"/>
          <w:sz w:val="22"/>
          <w:szCs w:val="22"/>
          <w:lang w:val="es-ES_tradnl"/>
        </w:rPr>
      </w:pPr>
    </w:p>
    <w:p w14:paraId="1F8A35A8" w14:textId="23FD4442" w:rsidR="005808AA" w:rsidRPr="00077FC7" w:rsidRDefault="005808AA" w:rsidP="005808AA">
      <w:pPr>
        <w:autoSpaceDE w:val="0"/>
        <w:autoSpaceDN w:val="0"/>
        <w:adjustRightInd w:val="0"/>
        <w:spacing w:line="264" w:lineRule="auto"/>
        <w:jc w:val="both"/>
        <w:rPr>
          <w:rFonts w:ascii="Arial Narrow" w:hAnsi="Arial Narrow" w:cs="Arial"/>
          <w:color w:val="000000" w:themeColor="text1"/>
          <w:sz w:val="22"/>
          <w:szCs w:val="22"/>
        </w:rPr>
      </w:pPr>
      <w:r w:rsidRPr="00077FC7">
        <w:rPr>
          <w:rFonts w:ascii="Arial Narrow" w:hAnsi="Arial Narrow" w:cs="Arial"/>
          <w:sz w:val="22"/>
          <w:szCs w:val="22"/>
          <w:lang w:val="es-ES"/>
        </w:rPr>
        <w:t xml:space="preserve">Las Resoluciones proyectadas </w:t>
      </w:r>
      <w:r>
        <w:rPr>
          <w:rFonts w:ascii="Arial Narrow" w:hAnsi="Arial Narrow" w:cs="Arial"/>
          <w:sz w:val="22"/>
          <w:szCs w:val="22"/>
          <w:lang w:val="es-ES"/>
        </w:rPr>
        <w:t xml:space="preserve">actualizan una contraprestación que ya se encuentra pactada contractualmente, por lo </w:t>
      </w:r>
      <w:proofErr w:type="gramStart"/>
      <w:r>
        <w:rPr>
          <w:rFonts w:ascii="Arial Narrow" w:hAnsi="Arial Narrow" w:cs="Arial"/>
          <w:sz w:val="22"/>
          <w:szCs w:val="22"/>
          <w:lang w:val="es-ES"/>
        </w:rPr>
        <w:t>tanto</w:t>
      </w:r>
      <w:proofErr w:type="gramEnd"/>
      <w:r>
        <w:rPr>
          <w:rFonts w:ascii="Arial Narrow" w:hAnsi="Arial Narrow" w:cs="Arial"/>
          <w:sz w:val="22"/>
          <w:szCs w:val="22"/>
          <w:lang w:val="es-ES"/>
        </w:rPr>
        <w:t xml:space="preserve"> no están generando una nueva tarifa o pago adicional que conlleve un impacto para los operadores de televisión por </w:t>
      </w:r>
      <w:r>
        <w:rPr>
          <w:rFonts w:ascii="Arial Narrow" w:hAnsi="Arial Narrow" w:cs="Arial"/>
          <w:sz w:val="22"/>
          <w:szCs w:val="22"/>
          <w:lang w:val="es-ES"/>
        </w:rPr>
        <w:t>suscripción.</w:t>
      </w:r>
    </w:p>
    <w:p w14:paraId="5A474646" w14:textId="3174DF21" w:rsidR="000B72DC" w:rsidRPr="00077FC7" w:rsidRDefault="000B72DC" w:rsidP="00077FC7">
      <w:pPr>
        <w:autoSpaceDE w:val="0"/>
        <w:autoSpaceDN w:val="0"/>
        <w:adjustRightInd w:val="0"/>
        <w:spacing w:line="264" w:lineRule="auto"/>
        <w:jc w:val="both"/>
        <w:rPr>
          <w:rFonts w:ascii="Arial Narrow" w:hAnsi="Arial Narrow" w:cs="Arial"/>
          <w:color w:val="000000" w:themeColor="text1"/>
          <w:sz w:val="22"/>
          <w:szCs w:val="22"/>
        </w:rPr>
      </w:pPr>
    </w:p>
    <w:p w14:paraId="578E3C3F" w14:textId="77777777" w:rsidR="00D33991" w:rsidRPr="00077FC7" w:rsidRDefault="00D33991" w:rsidP="00077FC7">
      <w:pPr>
        <w:autoSpaceDE w:val="0"/>
        <w:autoSpaceDN w:val="0"/>
        <w:adjustRightInd w:val="0"/>
        <w:spacing w:line="264" w:lineRule="auto"/>
        <w:jc w:val="both"/>
        <w:rPr>
          <w:rFonts w:ascii="Arial Narrow" w:hAnsi="Arial Narrow" w:cs="Arial"/>
          <w:b/>
          <w:bCs/>
          <w:color w:val="000000" w:themeColor="text1"/>
          <w:sz w:val="22"/>
          <w:szCs w:val="22"/>
        </w:rPr>
      </w:pPr>
      <w:r w:rsidRPr="00077FC7">
        <w:rPr>
          <w:rFonts w:ascii="Arial Narrow" w:hAnsi="Arial Narrow" w:cs="Arial"/>
          <w:b/>
          <w:bCs/>
          <w:color w:val="000000" w:themeColor="text1"/>
          <w:sz w:val="22"/>
          <w:szCs w:val="22"/>
        </w:rPr>
        <w:t>5.</w:t>
      </w:r>
      <w:r w:rsidRPr="00077FC7">
        <w:rPr>
          <w:rFonts w:ascii="Arial Narrow" w:hAnsi="Arial Narrow" w:cs="Arial"/>
          <w:b/>
          <w:bCs/>
          <w:color w:val="000000" w:themeColor="text1"/>
          <w:sz w:val="22"/>
          <w:szCs w:val="22"/>
        </w:rPr>
        <w:tab/>
        <w:t>Disponibilidad presupuestal</w:t>
      </w:r>
    </w:p>
    <w:p w14:paraId="06AA28F0" w14:textId="77777777" w:rsidR="00D33991" w:rsidRPr="00077FC7" w:rsidRDefault="00D33991" w:rsidP="00077FC7">
      <w:pPr>
        <w:autoSpaceDE w:val="0"/>
        <w:autoSpaceDN w:val="0"/>
        <w:adjustRightInd w:val="0"/>
        <w:spacing w:line="264" w:lineRule="auto"/>
        <w:jc w:val="both"/>
        <w:rPr>
          <w:rFonts w:ascii="Arial Narrow" w:hAnsi="Arial Narrow" w:cs="Arial"/>
          <w:b/>
          <w:bCs/>
          <w:color w:val="000000" w:themeColor="text1"/>
          <w:sz w:val="22"/>
          <w:szCs w:val="22"/>
        </w:rPr>
      </w:pPr>
    </w:p>
    <w:p w14:paraId="48F12FD1" w14:textId="7FEF6920" w:rsidR="006B2153" w:rsidRPr="00077FC7" w:rsidRDefault="00BC6B46" w:rsidP="00077FC7">
      <w:pPr>
        <w:autoSpaceDE w:val="0"/>
        <w:autoSpaceDN w:val="0"/>
        <w:adjustRightInd w:val="0"/>
        <w:spacing w:line="264" w:lineRule="auto"/>
        <w:jc w:val="both"/>
        <w:rPr>
          <w:rFonts w:ascii="Arial Narrow" w:hAnsi="Arial Narrow" w:cs="Arial"/>
          <w:bCs/>
          <w:color w:val="000000" w:themeColor="text1"/>
          <w:sz w:val="22"/>
          <w:szCs w:val="22"/>
        </w:rPr>
      </w:pPr>
      <w:r w:rsidRPr="00077FC7">
        <w:rPr>
          <w:rFonts w:ascii="Arial Narrow" w:hAnsi="Arial Narrow" w:cs="Arial"/>
          <w:bCs/>
          <w:color w:val="000000" w:themeColor="text1"/>
          <w:sz w:val="22"/>
          <w:szCs w:val="22"/>
        </w:rPr>
        <w:t>La expedición y entrada en vigencia de las resoluciones proyectadas</w:t>
      </w:r>
      <w:r w:rsidR="00981158" w:rsidRPr="00077FC7">
        <w:rPr>
          <w:rFonts w:ascii="Arial Narrow" w:hAnsi="Arial Narrow" w:cs="Arial"/>
          <w:bCs/>
          <w:color w:val="000000" w:themeColor="text1"/>
          <w:sz w:val="22"/>
          <w:szCs w:val="22"/>
        </w:rPr>
        <w:t xml:space="preserve"> no implica erogación.</w:t>
      </w:r>
    </w:p>
    <w:p w14:paraId="67C43A58" w14:textId="77777777" w:rsidR="00D33991" w:rsidRPr="00077FC7" w:rsidRDefault="00D33991" w:rsidP="00077FC7">
      <w:pPr>
        <w:autoSpaceDE w:val="0"/>
        <w:autoSpaceDN w:val="0"/>
        <w:adjustRightInd w:val="0"/>
        <w:spacing w:line="264" w:lineRule="auto"/>
        <w:jc w:val="both"/>
        <w:rPr>
          <w:rFonts w:ascii="Arial Narrow" w:hAnsi="Arial Narrow" w:cs="Arial"/>
          <w:b/>
          <w:bCs/>
          <w:color w:val="000000" w:themeColor="text1"/>
          <w:sz w:val="22"/>
          <w:szCs w:val="22"/>
        </w:rPr>
      </w:pPr>
    </w:p>
    <w:p w14:paraId="6DFF1E81" w14:textId="77777777" w:rsidR="00D33991" w:rsidRPr="00077FC7" w:rsidRDefault="00D33991" w:rsidP="00077FC7">
      <w:pPr>
        <w:autoSpaceDE w:val="0"/>
        <w:autoSpaceDN w:val="0"/>
        <w:adjustRightInd w:val="0"/>
        <w:spacing w:line="264" w:lineRule="auto"/>
        <w:ind w:left="705" w:hanging="705"/>
        <w:jc w:val="both"/>
        <w:rPr>
          <w:rFonts w:ascii="Arial Narrow" w:hAnsi="Arial Narrow" w:cs="Arial"/>
          <w:b/>
          <w:bCs/>
          <w:color w:val="000000" w:themeColor="text1"/>
          <w:sz w:val="22"/>
          <w:szCs w:val="22"/>
        </w:rPr>
      </w:pPr>
      <w:r w:rsidRPr="00077FC7">
        <w:rPr>
          <w:rFonts w:ascii="Arial Narrow" w:hAnsi="Arial Narrow" w:cs="Arial"/>
          <w:b/>
          <w:bCs/>
          <w:color w:val="000000" w:themeColor="text1"/>
          <w:sz w:val="22"/>
          <w:szCs w:val="22"/>
        </w:rPr>
        <w:t>6.</w:t>
      </w:r>
      <w:r w:rsidRPr="00077FC7">
        <w:rPr>
          <w:rFonts w:ascii="Arial Narrow" w:hAnsi="Arial Narrow" w:cs="Arial"/>
          <w:b/>
          <w:bCs/>
          <w:color w:val="000000" w:themeColor="text1"/>
          <w:sz w:val="22"/>
          <w:szCs w:val="22"/>
        </w:rPr>
        <w:tab/>
      </w:r>
      <w:r w:rsidRPr="00077FC7">
        <w:rPr>
          <w:rFonts w:ascii="Arial Narrow" w:hAnsi="Arial Narrow" w:cs="Arial"/>
          <w:b/>
          <w:color w:val="000000" w:themeColor="text1"/>
          <w:sz w:val="22"/>
          <w:szCs w:val="22"/>
          <w:lang w:val="es-ES_tradnl"/>
        </w:rPr>
        <w:t>Estudio preliminar sobre posible impacto</w:t>
      </w:r>
      <w:r w:rsidRPr="00077FC7">
        <w:rPr>
          <w:rFonts w:ascii="Arial Narrow" w:hAnsi="Arial Narrow" w:cs="Arial"/>
          <w:b/>
          <w:bCs/>
          <w:color w:val="000000" w:themeColor="text1"/>
          <w:sz w:val="22"/>
          <w:szCs w:val="22"/>
        </w:rPr>
        <w:t xml:space="preserve"> medioambiental o sobre el patrimonio cultural de la Nación</w:t>
      </w:r>
    </w:p>
    <w:p w14:paraId="6F422136" w14:textId="77777777" w:rsidR="00D33991" w:rsidRPr="00077FC7" w:rsidRDefault="00D33991" w:rsidP="00077FC7">
      <w:pPr>
        <w:autoSpaceDE w:val="0"/>
        <w:autoSpaceDN w:val="0"/>
        <w:adjustRightInd w:val="0"/>
        <w:spacing w:line="264" w:lineRule="auto"/>
        <w:jc w:val="both"/>
        <w:rPr>
          <w:rFonts w:ascii="Arial Narrow" w:hAnsi="Arial Narrow" w:cs="Arial"/>
          <w:color w:val="000000" w:themeColor="text1"/>
          <w:sz w:val="22"/>
          <w:szCs w:val="22"/>
        </w:rPr>
      </w:pPr>
    </w:p>
    <w:p w14:paraId="5701199D" w14:textId="77777777" w:rsidR="00D33991" w:rsidRPr="00077FC7" w:rsidRDefault="00D33991" w:rsidP="00077FC7">
      <w:pPr>
        <w:autoSpaceDE w:val="0"/>
        <w:autoSpaceDN w:val="0"/>
        <w:adjustRightInd w:val="0"/>
        <w:spacing w:line="264" w:lineRule="auto"/>
        <w:jc w:val="both"/>
        <w:rPr>
          <w:rFonts w:ascii="Arial Narrow" w:hAnsi="Arial Narrow" w:cs="Arial"/>
          <w:color w:val="000000" w:themeColor="text1"/>
          <w:sz w:val="22"/>
          <w:szCs w:val="22"/>
        </w:rPr>
      </w:pPr>
      <w:r w:rsidRPr="00077FC7">
        <w:rPr>
          <w:rFonts w:ascii="Arial Narrow" w:hAnsi="Arial Narrow" w:cs="Arial"/>
          <w:color w:val="000000" w:themeColor="text1"/>
          <w:sz w:val="22"/>
          <w:szCs w:val="22"/>
        </w:rPr>
        <w:t>La norma para expedir no genera impacto medioambiental o sobre el patrimonio cultural de la Nación.</w:t>
      </w:r>
    </w:p>
    <w:p w14:paraId="604085C2" w14:textId="77777777" w:rsidR="00D33991" w:rsidRPr="00077FC7" w:rsidRDefault="00D33991" w:rsidP="00077FC7">
      <w:pPr>
        <w:autoSpaceDE w:val="0"/>
        <w:autoSpaceDN w:val="0"/>
        <w:adjustRightInd w:val="0"/>
        <w:spacing w:line="264" w:lineRule="auto"/>
        <w:jc w:val="both"/>
        <w:rPr>
          <w:rFonts w:ascii="Arial Narrow" w:hAnsi="Arial Narrow" w:cs="Arial"/>
          <w:color w:val="000000" w:themeColor="text1"/>
          <w:sz w:val="22"/>
          <w:szCs w:val="22"/>
        </w:rPr>
      </w:pPr>
    </w:p>
    <w:p w14:paraId="265848A2" w14:textId="77777777" w:rsidR="00D33991" w:rsidRPr="00077FC7" w:rsidRDefault="00D33991" w:rsidP="00077FC7">
      <w:pPr>
        <w:spacing w:line="264" w:lineRule="auto"/>
        <w:contextualSpacing/>
        <w:jc w:val="both"/>
        <w:rPr>
          <w:rFonts w:ascii="Arial Narrow" w:hAnsi="Arial Narrow" w:cs="Arial"/>
          <w:b/>
          <w:color w:val="000000" w:themeColor="text1"/>
          <w:sz w:val="22"/>
          <w:szCs w:val="22"/>
        </w:rPr>
      </w:pPr>
    </w:p>
    <w:p w14:paraId="23E72A92" w14:textId="77777777" w:rsidR="00D33991" w:rsidRPr="00077FC7" w:rsidRDefault="00D33991" w:rsidP="00077FC7">
      <w:pPr>
        <w:pStyle w:val="NormalWeb"/>
        <w:spacing w:before="0" w:beforeAutospacing="0" w:after="0" w:afterAutospacing="0" w:line="264" w:lineRule="auto"/>
        <w:jc w:val="both"/>
        <w:rPr>
          <w:rFonts w:ascii="Arial Narrow" w:hAnsi="Arial Narrow" w:cs="Arial"/>
          <w:b/>
          <w:color w:val="000000" w:themeColor="text1"/>
          <w:sz w:val="22"/>
          <w:szCs w:val="22"/>
        </w:rPr>
      </w:pPr>
      <w:r w:rsidRPr="00077FC7">
        <w:rPr>
          <w:rFonts w:ascii="Arial Narrow" w:hAnsi="Arial Narrow" w:cs="Arial"/>
          <w:b/>
          <w:color w:val="000000" w:themeColor="text1"/>
          <w:sz w:val="22"/>
          <w:szCs w:val="22"/>
        </w:rPr>
        <w:t>7.</w:t>
      </w:r>
      <w:r w:rsidRPr="00077FC7">
        <w:rPr>
          <w:rFonts w:ascii="Arial Narrow" w:hAnsi="Arial Narrow" w:cs="Arial"/>
          <w:b/>
          <w:color w:val="000000" w:themeColor="text1"/>
          <w:sz w:val="22"/>
          <w:szCs w:val="22"/>
        </w:rPr>
        <w:tab/>
        <w:t>Manifestación de Impacto Regulatorio</w:t>
      </w:r>
    </w:p>
    <w:p w14:paraId="7658F3F5" w14:textId="77777777" w:rsidR="00D33991" w:rsidRPr="00077FC7" w:rsidRDefault="00D33991" w:rsidP="00077FC7">
      <w:pPr>
        <w:pStyle w:val="NormalWeb"/>
        <w:spacing w:before="0" w:beforeAutospacing="0" w:after="0" w:afterAutospacing="0" w:line="264" w:lineRule="auto"/>
        <w:jc w:val="both"/>
        <w:rPr>
          <w:rFonts w:ascii="Arial Narrow" w:hAnsi="Arial Narrow" w:cs="Arial"/>
          <w:color w:val="000000" w:themeColor="text1"/>
          <w:sz w:val="22"/>
          <w:szCs w:val="22"/>
        </w:rPr>
      </w:pPr>
    </w:p>
    <w:p w14:paraId="067039DD" w14:textId="77777777" w:rsidR="005808AA" w:rsidRPr="00077FC7" w:rsidRDefault="005808AA" w:rsidP="005808AA">
      <w:pPr>
        <w:spacing w:line="264" w:lineRule="auto"/>
        <w:jc w:val="both"/>
        <w:rPr>
          <w:rFonts w:ascii="Arial Narrow" w:eastAsia="Times New Roman" w:hAnsi="Arial Narrow" w:cs="Arial"/>
          <w:color w:val="000000" w:themeColor="text1"/>
          <w:sz w:val="22"/>
          <w:szCs w:val="22"/>
          <w:lang w:val="es-ES" w:eastAsia="es-ES"/>
        </w:rPr>
      </w:pPr>
      <w:r w:rsidRPr="00077FC7">
        <w:rPr>
          <w:rFonts w:ascii="Arial Narrow" w:eastAsia="Times New Roman" w:hAnsi="Arial Narrow" w:cs="Arial"/>
          <w:color w:val="000000" w:themeColor="text1"/>
          <w:sz w:val="22"/>
          <w:szCs w:val="22"/>
          <w:lang w:val="es-ES" w:eastAsia="es-ES"/>
        </w:rPr>
        <w:t xml:space="preserve">El proyecto </w:t>
      </w:r>
      <w:r>
        <w:rPr>
          <w:rFonts w:ascii="Arial Narrow" w:eastAsia="Times New Roman" w:hAnsi="Arial Narrow" w:cs="Arial"/>
          <w:color w:val="000000" w:themeColor="text1"/>
          <w:sz w:val="22"/>
          <w:szCs w:val="22"/>
          <w:lang w:val="es-ES" w:eastAsia="es-ES"/>
        </w:rPr>
        <w:t>de resolución no genera una nueva obligación</w:t>
      </w:r>
      <w:r w:rsidRPr="00077FC7">
        <w:rPr>
          <w:rFonts w:ascii="Arial Narrow" w:eastAsia="Times New Roman" w:hAnsi="Arial Narrow" w:cs="Arial"/>
          <w:color w:val="000000" w:themeColor="text1"/>
          <w:sz w:val="22"/>
          <w:szCs w:val="22"/>
          <w:lang w:val="es-ES" w:eastAsia="es-ES"/>
        </w:rPr>
        <w:t xml:space="preserve"> y por tanto no necesita manifestación de impacto regulatorio.</w:t>
      </w:r>
    </w:p>
    <w:p w14:paraId="4D9404CD" w14:textId="5C6E16DE" w:rsidR="00D33991" w:rsidRPr="00077FC7" w:rsidRDefault="00D33991" w:rsidP="005808AA">
      <w:pPr>
        <w:spacing w:line="264" w:lineRule="auto"/>
        <w:jc w:val="both"/>
        <w:rPr>
          <w:rFonts w:ascii="Arial Narrow" w:eastAsia="Times New Roman" w:hAnsi="Arial Narrow" w:cs="Arial"/>
          <w:color w:val="000000" w:themeColor="text1"/>
          <w:sz w:val="22"/>
          <w:szCs w:val="22"/>
          <w:lang w:val="es-ES" w:eastAsia="es-ES"/>
        </w:rPr>
      </w:pPr>
      <w:bookmarkStart w:id="1" w:name="_GoBack"/>
      <w:bookmarkEnd w:id="1"/>
    </w:p>
    <w:sectPr w:rsidR="00D33991" w:rsidRPr="00077FC7" w:rsidSect="00BC54B0">
      <w:headerReference w:type="default" r:id="rId11"/>
      <w:footerReference w:type="default" r:id="rId12"/>
      <w:pgSz w:w="12240" w:h="15840" w:code="1"/>
      <w:pgMar w:top="1418"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B9032" w14:textId="77777777" w:rsidR="00B46E96" w:rsidRDefault="00B46E96" w:rsidP="00D33991">
      <w:r>
        <w:separator/>
      </w:r>
    </w:p>
  </w:endnote>
  <w:endnote w:type="continuationSeparator" w:id="0">
    <w:p w14:paraId="203D3E3A" w14:textId="77777777" w:rsidR="00B46E96" w:rsidRDefault="00B46E96" w:rsidP="00D3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793503AD" w14:textId="77777777" w:rsidR="00CD1720" w:rsidRDefault="00B46E96" w:rsidP="00CB061F">
            <w:pPr>
              <w:pStyle w:val="Piedepgina"/>
              <w:rPr>
                <w:rFonts w:ascii="Arial Narrow" w:hAnsi="Arial Narrow"/>
                <w:sz w:val="16"/>
                <w:szCs w:val="16"/>
              </w:rPr>
            </w:pPr>
          </w:p>
          <w:p w14:paraId="01DAF6DE" w14:textId="03D421E7" w:rsidR="00CD1720" w:rsidRDefault="00CF7CD5"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077FC7">
              <w:rPr>
                <w:rFonts w:ascii="Arial Narrow" w:hAnsi="Arial Narrow"/>
                <w:bCs/>
                <w:noProof/>
                <w:sz w:val="16"/>
                <w:szCs w:val="16"/>
              </w:rPr>
              <w:t>5</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077FC7">
              <w:rPr>
                <w:rFonts w:ascii="Arial Narrow" w:hAnsi="Arial Narrow"/>
                <w:bCs/>
                <w:noProof/>
                <w:sz w:val="16"/>
                <w:szCs w:val="16"/>
              </w:rPr>
              <w:t>6</w:t>
            </w:r>
            <w:r w:rsidRPr="00374DDE">
              <w:rPr>
                <w:rFonts w:ascii="Arial Narrow" w:hAnsi="Arial Narrow"/>
                <w:bCs/>
                <w:sz w:val="16"/>
                <w:szCs w:val="16"/>
              </w:rPr>
              <w:fldChar w:fldCharType="end"/>
            </w:r>
            <w:r>
              <w:rPr>
                <w:rFonts w:ascii="Arial Narrow" w:hAnsi="Arial Narrow"/>
                <w:bCs/>
                <w:sz w:val="16"/>
                <w:szCs w:val="16"/>
              </w:rPr>
              <w:tab/>
              <w:t>GJU-TIC-FM-013</w:t>
            </w:r>
          </w:p>
          <w:p w14:paraId="483D4F3B" w14:textId="36BFB9A0" w:rsidR="00CD1720" w:rsidRPr="00374DDE" w:rsidRDefault="00CF7CD5"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73156732" w14:textId="77777777" w:rsidR="00CD1720" w:rsidRDefault="00B46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76771" w14:textId="77777777" w:rsidR="00B46E96" w:rsidRDefault="00B46E96" w:rsidP="00D33991">
      <w:r>
        <w:separator/>
      </w:r>
    </w:p>
  </w:footnote>
  <w:footnote w:type="continuationSeparator" w:id="0">
    <w:p w14:paraId="094C8CD1" w14:textId="77777777" w:rsidR="00B46E96" w:rsidRDefault="00B46E96" w:rsidP="00D33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993"/>
    </w:tblGrid>
    <w:tr w:rsidR="00CD1720" w:rsidRPr="00384075" w14:paraId="68B9F1BE" w14:textId="77777777" w:rsidTr="001F260D">
      <w:trPr>
        <w:trHeight w:val="565"/>
        <w:jc w:val="center"/>
      </w:trPr>
      <w:tc>
        <w:tcPr>
          <w:tcW w:w="9889" w:type="dxa"/>
          <w:vAlign w:val="center"/>
        </w:tcPr>
        <w:p w14:paraId="481A8212" w14:textId="77777777" w:rsidR="00CD1720" w:rsidRPr="00384075" w:rsidRDefault="00CF7CD5"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606"/>
            <w:gridCol w:w="4871"/>
            <w:gridCol w:w="1556"/>
          </w:tblGrid>
          <w:tr w:rsidR="00CD1720" w14:paraId="525822C7" w14:textId="77777777" w:rsidTr="00687CCA">
            <w:trPr>
              <w:trHeight w:val="1275"/>
            </w:trPr>
            <w:tc>
              <w:tcPr>
                <w:tcW w:w="2183" w:type="dxa"/>
                <w:vAlign w:val="center"/>
              </w:tcPr>
              <w:p w14:paraId="3BFCBF13" w14:textId="77777777" w:rsidR="00CD1720" w:rsidRDefault="00CF7CD5" w:rsidP="00282E9D">
                <w:pPr>
                  <w:pStyle w:val="Encabezado"/>
                  <w:jc w:val="center"/>
                </w:pPr>
                <w:r>
                  <w:rPr>
                    <w:noProof/>
                    <w:lang w:val="es-ES"/>
                  </w:rPr>
                  <w:drawing>
                    <wp:inline distT="0" distB="0" distL="0" distR="0" wp14:anchorId="78B2154E" wp14:editId="62E853A2">
                      <wp:extent cx="2148840" cy="388620"/>
                      <wp:effectExtent l="0" t="0" r="3810" b="0"/>
                      <wp:docPr id="23" name="Imagen 23"/>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2148840" cy="388620"/>
                              </a:xfrm>
                              <a:prstGeom prst="rect">
                                <a:avLst/>
                              </a:prstGeom>
                            </pic:spPr>
                          </pic:pic>
                        </a:graphicData>
                      </a:graphic>
                    </wp:inline>
                  </w:drawing>
                </w:r>
              </w:p>
            </w:tc>
            <w:tc>
              <w:tcPr>
                <w:tcW w:w="6264" w:type="dxa"/>
                <w:vAlign w:val="center"/>
              </w:tcPr>
              <w:p w14:paraId="6A3B057B" w14:textId="77777777" w:rsidR="00CD1720" w:rsidRPr="00BB1B4A" w:rsidRDefault="00CF7CD5" w:rsidP="00282E9D">
                <w:pPr>
                  <w:jc w:val="center"/>
                  <w:rPr>
                    <w:rFonts w:ascii="Arial Narrow" w:hAnsi="Arial Narrow"/>
                    <w:b/>
                  </w:rPr>
                </w:pPr>
                <w:r w:rsidRPr="00BB1B4A">
                  <w:rPr>
                    <w:rFonts w:ascii="Arial Narrow" w:hAnsi="Arial Narrow"/>
                    <w:b/>
                  </w:rPr>
                  <w:t>SOPORTE TÉCNICO</w:t>
                </w:r>
              </w:p>
            </w:tc>
            <w:tc>
              <w:tcPr>
                <w:tcW w:w="1586" w:type="dxa"/>
                <w:vAlign w:val="center"/>
              </w:tcPr>
              <w:p w14:paraId="754E27C2" w14:textId="77777777" w:rsidR="00CD1720" w:rsidRDefault="00CF7CD5" w:rsidP="00282E9D">
                <w:pPr>
                  <w:pStyle w:val="Encabezado"/>
                  <w:jc w:val="center"/>
                </w:pPr>
                <w:r w:rsidRPr="004161E7">
                  <w:rPr>
                    <w:noProof/>
                    <w:lang w:val="es-ES"/>
                  </w:rPr>
                  <w:drawing>
                    <wp:inline distT="0" distB="0" distL="0" distR="0" wp14:anchorId="05DD6943" wp14:editId="1A1BE90A">
                      <wp:extent cx="791570" cy="768114"/>
                      <wp:effectExtent l="0" t="0" r="8890" b="0"/>
                      <wp:docPr id="2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3B1C50" w14:textId="77777777" w:rsidR="00CD1720" w:rsidRPr="00384075" w:rsidRDefault="00B46E96" w:rsidP="009320D2">
          <w:pPr>
            <w:pStyle w:val="Estilo2"/>
            <w:numPr>
              <w:ilvl w:val="0"/>
              <w:numId w:val="0"/>
            </w:numPr>
            <w:ind w:left="360"/>
            <w:jc w:val="right"/>
            <w:rPr>
              <w:rFonts w:ascii="Arial" w:hAnsi="Arial" w:cs="Arial"/>
            </w:rPr>
          </w:pPr>
        </w:p>
      </w:tc>
    </w:tr>
  </w:tbl>
  <w:p w14:paraId="407BE735" w14:textId="77777777" w:rsidR="00CD1720" w:rsidRPr="00874DE8" w:rsidRDefault="00B46E96"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5EDE"/>
    <w:multiLevelType w:val="multilevel"/>
    <w:tmpl w:val="7DD83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9242FD8"/>
    <w:multiLevelType w:val="hybridMultilevel"/>
    <w:tmpl w:val="8DBAB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8D45CF"/>
    <w:multiLevelType w:val="hybridMultilevel"/>
    <w:tmpl w:val="C2E0C5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3AC30BA"/>
    <w:multiLevelType w:val="hybridMultilevel"/>
    <w:tmpl w:val="E6AE4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40B40D24"/>
    <w:multiLevelType w:val="hybridMultilevel"/>
    <w:tmpl w:val="9626C486"/>
    <w:lvl w:ilvl="0" w:tplc="240A0001">
      <w:start w:val="1"/>
      <w:numFmt w:val="bullet"/>
      <w:lvlText w:val=""/>
      <w:lvlJc w:val="left"/>
      <w:pPr>
        <w:ind w:left="2750" w:hanging="360"/>
      </w:pPr>
      <w:rPr>
        <w:rFonts w:ascii="Symbol" w:hAnsi="Symbol" w:hint="default"/>
      </w:rPr>
    </w:lvl>
    <w:lvl w:ilvl="1" w:tplc="240A0003">
      <w:start w:val="1"/>
      <w:numFmt w:val="bullet"/>
      <w:lvlText w:val="o"/>
      <w:lvlJc w:val="left"/>
      <w:pPr>
        <w:ind w:left="3470" w:hanging="360"/>
      </w:pPr>
      <w:rPr>
        <w:rFonts w:ascii="Courier New" w:hAnsi="Courier New" w:cs="Courier New" w:hint="default"/>
      </w:rPr>
    </w:lvl>
    <w:lvl w:ilvl="2" w:tplc="240A0005">
      <w:start w:val="1"/>
      <w:numFmt w:val="bullet"/>
      <w:lvlText w:val=""/>
      <w:lvlJc w:val="left"/>
      <w:pPr>
        <w:ind w:left="4190" w:hanging="360"/>
      </w:pPr>
      <w:rPr>
        <w:rFonts w:ascii="Wingdings" w:hAnsi="Wingdings" w:hint="default"/>
      </w:rPr>
    </w:lvl>
    <w:lvl w:ilvl="3" w:tplc="240A0001">
      <w:start w:val="1"/>
      <w:numFmt w:val="bullet"/>
      <w:lvlText w:val=""/>
      <w:lvlJc w:val="left"/>
      <w:pPr>
        <w:ind w:left="4910" w:hanging="360"/>
      </w:pPr>
      <w:rPr>
        <w:rFonts w:ascii="Symbol" w:hAnsi="Symbol" w:hint="default"/>
      </w:rPr>
    </w:lvl>
    <w:lvl w:ilvl="4" w:tplc="240A0003">
      <w:start w:val="1"/>
      <w:numFmt w:val="bullet"/>
      <w:lvlText w:val="o"/>
      <w:lvlJc w:val="left"/>
      <w:pPr>
        <w:ind w:left="5630" w:hanging="360"/>
      </w:pPr>
      <w:rPr>
        <w:rFonts w:ascii="Courier New" w:hAnsi="Courier New" w:cs="Courier New" w:hint="default"/>
      </w:rPr>
    </w:lvl>
    <w:lvl w:ilvl="5" w:tplc="240A0005">
      <w:start w:val="1"/>
      <w:numFmt w:val="bullet"/>
      <w:lvlText w:val=""/>
      <w:lvlJc w:val="left"/>
      <w:pPr>
        <w:ind w:left="6350" w:hanging="360"/>
      </w:pPr>
      <w:rPr>
        <w:rFonts w:ascii="Wingdings" w:hAnsi="Wingdings" w:hint="default"/>
      </w:rPr>
    </w:lvl>
    <w:lvl w:ilvl="6" w:tplc="240A0001">
      <w:start w:val="1"/>
      <w:numFmt w:val="bullet"/>
      <w:lvlText w:val=""/>
      <w:lvlJc w:val="left"/>
      <w:pPr>
        <w:ind w:left="7070" w:hanging="360"/>
      </w:pPr>
      <w:rPr>
        <w:rFonts w:ascii="Symbol" w:hAnsi="Symbol" w:hint="default"/>
      </w:rPr>
    </w:lvl>
    <w:lvl w:ilvl="7" w:tplc="240A0003">
      <w:start w:val="1"/>
      <w:numFmt w:val="bullet"/>
      <w:lvlText w:val="o"/>
      <w:lvlJc w:val="left"/>
      <w:pPr>
        <w:ind w:left="7790" w:hanging="360"/>
      </w:pPr>
      <w:rPr>
        <w:rFonts w:ascii="Courier New" w:hAnsi="Courier New" w:cs="Courier New" w:hint="default"/>
      </w:rPr>
    </w:lvl>
    <w:lvl w:ilvl="8" w:tplc="240A0005">
      <w:start w:val="1"/>
      <w:numFmt w:val="bullet"/>
      <w:lvlText w:val=""/>
      <w:lvlJc w:val="left"/>
      <w:pPr>
        <w:ind w:left="8510" w:hanging="360"/>
      </w:pPr>
      <w:rPr>
        <w:rFonts w:ascii="Wingdings" w:hAnsi="Wingdings" w:hint="default"/>
      </w:rPr>
    </w:lvl>
  </w:abstractNum>
  <w:abstractNum w:abstractNumId="6" w15:restartNumberingAfterBreak="0">
    <w:nsid w:val="65D8653D"/>
    <w:multiLevelType w:val="hybridMultilevel"/>
    <w:tmpl w:val="65362BE8"/>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7" w15:restartNumberingAfterBreak="0">
    <w:nsid w:val="7E35087F"/>
    <w:multiLevelType w:val="hybridMultilevel"/>
    <w:tmpl w:val="2F984904"/>
    <w:lvl w:ilvl="0" w:tplc="9A981EB4">
      <w:start w:val="1"/>
      <w:numFmt w:val="lowerLetter"/>
      <w:lvlText w:val="%1)"/>
      <w:lvlJc w:val="left"/>
      <w:pPr>
        <w:ind w:left="530" w:hanging="360"/>
      </w:pPr>
    </w:lvl>
    <w:lvl w:ilvl="1" w:tplc="240A0019">
      <w:start w:val="1"/>
      <w:numFmt w:val="lowerLetter"/>
      <w:lvlText w:val="%2."/>
      <w:lvlJc w:val="left"/>
      <w:pPr>
        <w:ind w:left="1250" w:hanging="360"/>
      </w:pPr>
    </w:lvl>
    <w:lvl w:ilvl="2" w:tplc="240A001B">
      <w:start w:val="1"/>
      <w:numFmt w:val="lowerRoman"/>
      <w:lvlText w:val="%3."/>
      <w:lvlJc w:val="right"/>
      <w:pPr>
        <w:ind w:left="1970" w:hanging="180"/>
      </w:pPr>
    </w:lvl>
    <w:lvl w:ilvl="3" w:tplc="240A000F">
      <w:start w:val="1"/>
      <w:numFmt w:val="decimal"/>
      <w:lvlText w:val="%4."/>
      <w:lvlJc w:val="left"/>
      <w:pPr>
        <w:ind w:left="2690" w:hanging="360"/>
      </w:pPr>
    </w:lvl>
    <w:lvl w:ilvl="4" w:tplc="240A0019">
      <w:start w:val="1"/>
      <w:numFmt w:val="lowerLetter"/>
      <w:lvlText w:val="%5."/>
      <w:lvlJc w:val="left"/>
      <w:pPr>
        <w:ind w:left="3410" w:hanging="360"/>
      </w:pPr>
    </w:lvl>
    <w:lvl w:ilvl="5" w:tplc="240A001B">
      <w:start w:val="1"/>
      <w:numFmt w:val="lowerRoman"/>
      <w:lvlText w:val="%6."/>
      <w:lvlJc w:val="right"/>
      <w:pPr>
        <w:ind w:left="4130" w:hanging="180"/>
      </w:pPr>
    </w:lvl>
    <w:lvl w:ilvl="6" w:tplc="240A000F">
      <w:start w:val="1"/>
      <w:numFmt w:val="decimal"/>
      <w:lvlText w:val="%7."/>
      <w:lvlJc w:val="left"/>
      <w:pPr>
        <w:ind w:left="4850" w:hanging="360"/>
      </w:pPr>
    </w:lvl>
    <w:lvl w:ilvl="7" w:tplc="240A0019">
      <w:start w:val="1"/>
      <w:numFmt w:val="lowerLetter"/>
      <w:lvlText w:val="%8."/>
      <w:lvlJc w:val="left"/>
      <w:pPr>
        <w:ind w:left="5570" w:hanging="360"/>
      </w:pPr>
    </w:lvl>
    <w:lvl w:ilvl="8" w:tplc="240A001B">
      <w:start w:val="1"/>
      <w:numFmt w:val="lowerRoman"/>
      <w:lvlText w:val="%9."/>
      <w:lvlJc w:val="right"/>
      <w:pPr>
        <w:ind w:left="6290" w:hanging="180"/>
      </w:pPr>
    </w:lvl>
  </w:abstractNum>
  <w:num w:numId="1">
    <w:abstractNumId w:val="4"/>
  </w:num>
  <w:num w:numId="2">
    <w:abstractNumId w:val="0"/>
  </w:num>
  <w:num w:numId="3">
    <w:abstractNumId w:val="1"/>
  </w:num>
  <w:num w:numId="4">
    <w:abstractNumId w:val="6"/>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991"/>
    <w:rsid w:val="00051338"/>
    <w:rsid w:val="00062618"/>
    <w:rsid w:val="00077FC7"/>
    <w:rsid w:val="00085D6D"/>
    <w:rsid w:val="000B59C2"/>
    <w:rsid w:val="000B72DC"/>
    <w:rsid w:val="000D234C"/>
    <w:rsid w:val="000E066C"/>
    <w:rsid w:val="000E160F"/>
    <w:rsid w:val="000F4F69"/>
    <w:rsid w:val="001414CB"/>
    <w:rsid w:val="00167B8D"/>
    <w:rsid w:val="0019752E"/>
    <w:rsid w:val="001A536C"/>
    <w:rsid w:val="001D61F7"/>
    <w:rsid w:val="001D7769"/>
    <w:rsid w:val="00203533"/>
    <w:rsid w:val="002232A3"/>
    <w:rsid w:val="00235A68"/>
    <w:rsid w:val="00263FE5"/>
    <w:rsid w:val="002856B6"/>
    <w:rsid w:val="002B551F"/>
    <w:rsid w:val="002D34F1"/>
    <w:rsid w:val="002E7108"/>
    <w:rsid w:val="003227F8"/>
    <w:rsid w:val="00337A47"/>
    <w:rsid w:val="00361F85"/>
    <w:rsid w:val="00390140"/>
    <w:rsid w:val="003C6CCA"/>
    <w:rsid w:val="003D1650"/>
    <w:rsid w:val="003E59D2"/>
    <w:rsid w:val="003E70DB"/>
    <w:rsid w:val="003F2F7B"/>
    <w:rsid w:val="004167B3"/>
    <w:rsid w:val="00470781"/>
    <w:rsid w:val="004A1748"/>
    <w:rsid w:val="004B72EF"/>
    <w:rsid w:val="004F1C7F"/>
    <w:rsid w:val="005808AA"/>
    <w:rsid w:val="005D6289"/>
    <w:rsid w:val="00620D52"/>
    <w:rsid w:val="006B2153"/>
    <w:rsid w:val="006B64EE"/>
    <w:rsid w:val="006D1D5F"/>
    <w:rsid w:val="006F71F5"/>
    <w:rsid w:val="00721D5F"/>
    <w:rsid w:val="007222E9"/>
    <w:rsid w:val="00730817"/>
    <w:rsid w:val="00742ED8"/>
    <w:rsid w:val="007730B6"/>
    <w:rsid w:val="00795957"/>
    <w:rsid w:val="007C7ADA"/>
    <w:rsid w:val="007E4113"/>
    <w:rsid w:val="007E6AEB"/>
    <w:rsid w:val="007F2105"/>
    <w:rsid w:val="00801C3E"/>
    <w:rsid w:val="00814727"/>
    <w:rsid w:val="00841EDC"/>
    <w:rsid w:val="00844983"/>
    <w:rsid w:val="00855229"/>
    <w:rsid w:val="008A60EE"/>
    <w:rsid w:val="00917D03"/>
    <w:rsid w:val="00931330"/>
    <w:rsid w:val="0093197C"/>
    <w:rsid w:val="00964FCF"/>
    <w:rsid w:val="0097044A"/>
    <w:rsid w:val="00981158"/>
    <w:rsid w:val="009968B6"/>
    <w:rsid w:val="009A47C6"/>
    <w:rsid w:val="009C692B"/>
    <w:rsid w:val="009F7B7A"/>
    <w:rsid w:val="00AC6D46"/>
    <w:rsid w:val="00B36286"/>
    <w:rsid w:val="00B4227D"/>
    <w:rsid w:val="00B46E96"/>
    <w:rsid w:val="00B5086B"/>
    <w:rsid w:val="00BB7AAA"/>
    <w:rsid w:val="00BC3EC1"/>
    <w:rsid w:val="00BC54B0"/>
    <w:rsid w:val="00BC6B46"/>
    <w:rsid w:val="00BF23D4"/>
    <w:rsid w:val="00C06C61"/>
    <w:rsid w:val="00C07683"/>
    <w:rsid w:val="00C224F8"/>
    <w:rsid w:val="00C32090"/>
    <w:rsid w:val="00C33A29"/>
    <w:rsid w:val="00C40F3D"/>
    <w:rsid w:val="00C931E0"/>
    <w:rsid w:val="00CA1221"/>
    <w:rsid w:val="00CD5A09"/>
    <w:rsid w:val="00CF7CD5"/>
    <w:rsid w:val="00D064C2"/>
    <w:rsid w:val="00D32322"/>
    <w:rsid w:val="00D33991"/>
    <w:rsid w:val="00D56338"/>
    <w:rsid w:val="00DA5D6D"/>
    <w:rsid w:val="00DC5DFE"/>
    <w:rsid w:val="00DE024F"/>
    <w:rsid w:val="00E307A9"/>
    <w:rsid w:val="00E30A0E"/>
    <w:rsid w:val="00E543A6"/>
    <w:rsid w:val="00E705DA"/>
    <w:rsid w:val="00E72108"/>
    <w:rsid w:val="00E8258B"/>
    <w:rsid w:val="00EC1E02"/>
    <w:rsid w:val="00EE0663"/>
    <w:rsid w:val="00EE5AF5"/>
    <w:rsid w:val="00EF00A4"/>
    <w:rsid w:val="00F46455"/>
    <w:rsid w:val="00F52E72"/>
    <w:rsid w:val="00F608BE"/>
    <w:rsid w:val="00F71C24"/>
    <w:rsid w:val="00F9012C"/>
    <w:rsid w:val="00F94A74"/>
    <w:rsid w:val="00FA535B"/>
    <w:rsid w:val="00FD2D80"/>
    <w:rsid w:val="00FD54CC"/>
    <w:rsid w:val="00FF19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6A4C"/>
  <w15:chartTrackingRefBased/>
  <w15:docId w15:val="{62F812E7-4C02-41DE-9D9E-DB148D94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33991"/>
    <w:pPr>
      <w:spacing w:after="0" w:line="240" w:lineRule="auto"/>
    </w:pPr>
    <w:rPr>
      <w:rFonts w:ascii="Times New Roman" w:eastAsia="Calibri" w:hAnsi="Times New Roman" w:cs="Times New Roman"/>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TextonotapieCar"/>
    <w:uiPriority w:val="99"/>
    <w:qFormat/>
    <w:rsid w:val="00D33991"/>
    <w:rPr>
      <w:rFonts w:eastAsia="Times New Roman"/>
      <w:sz w:val="20"/>
      <w:szCs w:val="20"/>
      <w:lang w:val="x-none" w:eastAsia="es-ES"/>
    </w:rPr>
  </w:style>
  <w:style w:type="character" w:customStyle="1" w:styleId="TextonotapieCar">
    <w:name w:val="Texto nota pie Car"/>
    <w:aliases w:val="ALTS FOOTNOTE Car,Footnote Text Char1 Car,Footnote Text Char Char1 Car,Footnote Text Char4 Char Char Car,Footnote Text Char1 Char1 Char1 Char Car,Footnote Text Char Char1 Char1 Char Char Car,DNV-FT Car"/>
    <w:basedOn w:val="Fuentedeprrafopredeter"/>
    <w:link w:val="Textonotapie"/>
    <w:uiPriority w:val="99"/>
    <w:rsid w:val="00D33991"/>
    <w:rPr>
      <w:rFonts w:ascii="Times New Roman" w:eastAsia="Times New Roman" w:hAnsi="Times New Roman" w:cs="Times New Roman"/>
      <w:sz w:val="20"/>
      <w:szCs w:val="20"/>
      <w:lang w:val="x-none" w:eastAsia="es-ES"/>
    </w:rPr>
  </w:style>
  <w:style w:type="character" w:styleId="Refdenotaalpie">
    <w:name w:val="footnote reference"/>
    <w:aliases w:val="Appel note de bas de p,Footnote Reference/,Ref,de nota al pie"/>
    <w:uiPriority w:val="99"/>
    <w:rsid w:val="00D33991"/>
    <w:rPr>
      <w:vertAlign w:val="superscript"/>
    </w:rPr>
  </w:style>
  <w:style w:type="character" w:styleId="Refdecomentario">
    <w:name w:val="annotation reference"/>
    <w:uiPriority w:val="99"/>
    <w:semiHidden/>
    <w:unhideWhenUsed/>
    <w:rsid w:val="00D33991"/>
    <w:rPr>
      <w:sz w:val="16"/>
      <w:szCs w:val="16"/>
    </w:rPr>
  </w:style>
  <w:style w:type="paragraph" w:styleId="Textocomentario">
    <w:name w:val="annotation text"/>
    <w:basedOn w:val="Normal"/>
    <w:link w:val="TextocomentarioCar"/>
    <w:uiPriority w:val="99"/>
    <w:semiHidden/>
    <w:unhideWhenUsed/>
    <w:rsid w:val="00D33991"/>
    <w:rPr>
      <w:sz w:val="20"/>
      <w:szCs w:val="20"/>
      <w:lang w:val="x-none"/>
    </w:rPr>
  </w:style>
  <w:style w:type="character" w:customStyle="1" w:styleId="TextocomentarioCar">
    <w:name w:val="Texto comentario Car"/>
    <w:basedOn w:val="Fuentedeprrafopredeter"/>
    <w:link w:val="Textocomentario"/>
    <w:uiPriority w:val="99"/>
    <w:semiHidden/>
    <w:rsid w:val="00D33991"/>
    <w:rPr>
      <w:rFonts w:ascii="Times New Roman" w:eastAsia="Calibri" w:hAnsi="Times New Roman" w:cs="Times New Roman"/>
      <w:sz w:val="20"/>
      <w:szCs w:val="20"/>
      <w:lang w:val="x-none" w:eastAsia="es-CO"/>
    </w:rPr>
  </w:style>
  <w:style w:type="paragraph" w:styleId="Encabezado">
    <w:name w:val="header"/>
    <w:basedOn w:val="Normal"/>
    <w:link w:val="EncabezadoCar"/>
    <w:uiPriority w:val="99"/>
    <w:rsid w:val="00D33991"/>
    <w:pPr>
      <w:tabs>
        <w:tab w:val="center" w:pos="4252"/>
        <w:tab w:val="right" w:pos="8504"/>
      </w:tabs>
    </w:pPr>
    <w:rPr>
      <w:rFonts w:eastAsia="Times New Roman"/>
      <w:lang w:val="x-none" w:eastAsia="es-ES"/>
    </w:rPr>
  </w:style>
  <w:style w:type="character" w:customStyle="1" w:styleId="EncabezadoCar">
    <w:name w:val="Encabezado Car"/>
    <w:basedOn w:val="Fuentedeprrafopredeter"/>
    <w:link w:val="Encabezado"/>
    <w:uiPriority w:val="99"/>
    <w:rsid w:val="00D33991"/>
    <w:rPr>
      <w:rFonts w:ascii="Times New Roman" w:eastAsia="Times New Roman" w:hAnsi="Times New Roman" w:cs="Times New Roman"/>
      <w:sz w:val="24"/>
      <w:szCs w:val="24"/>
      <w:lang w:val="x-none" w:eastAsia="es-ES"/>
    </w:rPr>
  </w:style>
  <w:style w:type="numbering" w:customStyle="1" w:styleId="Estilo1">
    <w:name w:val="Estilo1"/>
    <w:basedOn w:val="Sinlista"/>
    <w:rsid w:val="00D33991"/>
    <w:pPr>
      <w:numPr>
        <w:numId w:val="1"/>
      </w:numPr>
    </w:pPr>
  </w:style>
  <w:style w:type="paragraph" w:customStyle="1" w:styleId="Estilo1CarCarCar">
    <w:name w:val="Estilo 1 Car Car Car"/>
    <w:basedOn w:val="Normal"/>
    <w:rsid w:val="00D33991"/>
    <w:pPr>
      <w:numPr>
        <w:numId w:val="1"/>
      </w:numPr>
      <w:jc w:val="both"/>
    </w:pPr>
    <w:rPr>
      <w:rFonts w:ascii="Verdana" w:eastAsia="Times New Roman" w:hAnsi="Verdana"/>
      <w:b/>
      <w:lang w:val="x-none" w:eastAsia="es-ES"/>
    </w:rPr>
  </w:style>
  <w:style w:type="paragraph" w:customStyle="1" w:styleId="Estilo2">
    <w:name w:val="Estilo2"/>
    <w:basedOn w:val="Normal"/>
    <w:rsid w:val="00D33991"/>
    <w:pPr>
      <w:numPr>
        <w:ilvl w:val="1"/>
        <w:numId w:val="1"/>
      </w:numPr>
    </w:pPr>
    <w:rPr>
      <w:rFonts w:ascii="Verdana" w:eastAsia="Times New Roman" w:hAnsi="Verdana"/>
      <w:lang w:val="es-ES" w:eastAsia="es-ES"/>
    </w:rPr>
  </w:style>
  <w:style w:type="paragraph" w:customStyle="1" w:styleId="Estilo3">
    <w:name w:val="Estilo3"/>
    <w:basedOn w:val="Normal"/>
    <w:rsid w:val="00D33991"/>
    <w:pPr>
      <w:numPr>
        <w:ilvl w:val="2"/>
        <w:numId w:val="1"/>
      </w:numPr>
    </w:pPr>
    <w:rPr>
      <w:rFonts w:ascii="Verdana" w:eastAsia="Times New Roman" w:hAnsi="Verdana"/>
      <w:lang w:val="es-ES" w:eastAsia="es-ES"/>
    </w:rPr>
  </w:style>
  <w:style w:type="paragraph" w:customStyle="1" w:styleId="Estilo4">
    <w:name w:val="Estilo4"/>
    <w:basedOn w:val="Continuarlista"/>
    <w:rsid w:val="00D33991"/>
    <w:pPr>
      <w:numPr>
        <w:ilvl w:val="3"/>
        <w:numId w:val="1"/>
      </w:numPr>
      <w:tabs>
        <w:tab w:val="clear" w:pos="2520"/>
        <w:tab w:val="num" w:pos="36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Piedepgina">
    <w:name w:val="footer"/>
    <w:basedOn w:val="Normal"/>
    <w:link w:val="PiedepginaCar"/>
    <w:uiPriority w:val="99"/>
    <w:unhideWhenUsed/>
    <w:rsid w:val="00D33991"/>
    <w:pPr>
      <w:tabs>
        <w:tab w:val="center" w:pos="4419"/>
        <w:tab w:val="right" w:pos="8838"/>
      </w:tabs>
    </w:pPr>
  </w:style>
  <w:style w:type="character" w:customStyle="1" w:styleId="PiedepginaCar">
    <w:name w:val="Pie de página Car"/>
    <w:basedOn w:val="Fuentedeprrafopredeter"/>
    <w:link w:val="Piedepgina"/>
    <w:uiPriority w:val="99"/>
    <w:rsid w:val="00D33991"/>
    <w:rPr>
      <w:rFonts w:ascii="Times New Roman" w:eastAsia="Calibri" w:hAnsi="Times New Roman" w:cs="Times New Roman"/>
      <w:sz w:val="24"/>
      <w:szCs w:val="24"/>
      <w:lang w:eastAsia="es-CO"/>
    </w:rPr>
  </w:style>
  <w:style w:type="paragraph" w:styleId="NormalWeb">
    <w:name w:val="Normal (Web)"/>
    <w:basedOn w:val="Normal"/>
    <w:uiPriority w:val="99"/>
    <w:rsid w:val="00D33991"/>
    <w:pPr>
      <w:spacing w:before="100" w:beforeAutospacing="1" w:after="100" w:afterAutospacing="1"/>
    </w:pPr>
    <w:rPr>
      <w:rFonts w:eastAsia="Times New Roman"/>
      <w:lang w:val="es-ES" w:eastAsia="es-ES"/>
    </w:rPr>
  </w:style>
  <w:style w:type="paragraph" w:styleId="Prrafodelista">
    <w:name w:val="List Paragraph"/>
    <w:aliases w:val="Viñetas - bolitas 3er nivel"/>
    <w:basedOn w:val="Normal"/>
    <w:link w:val="PrrafodelistaCar"/>
    <w:uiPriority w:val="99"/>
    <w:qFormat/>
    <w:rsid w:val="00D33991"/>
    <w:pPr>
      <w:ind w:left="720"/>
      <w:contextualSpacing/>
    </w:pPr>
  </w:style>
  <w:style w:type="table" w:styleId="Tablaconcuadrcula">
    <w:name w:val="Table Grid"/>
    <w:basedOn w:val="Tablanormal"/>
    <w:uiPriority w:val="59"/>
    <w:rsid w:val="00D33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w:basedOn w:val="Normal"/>
    <w:next w:val="Normal"/>
    <w:uiPriority w:val="35"/>
    <w:unhideWhenUsed/>
    <w:qFormat/>
    <w:rsid w:val="00D33991"/>
    <w:pPr>
      <w:spacing w:before="120" w:after="200"/>
    </w:pPr>
    <w:rPr>
      <w:rFonts w:asciiTheme="minorHAnsi" w:eastAsiaTheme="minorHAnsi" w:hAnsiTheme="minorHAnsi" w:cstheme="minorBidi"/>
      <w:i/>
      <w:iCs/>
      <w:color w:val="44546A" w:themeColor="text2"/>
      <w:sz w:val="18"/>
      <w:szCs w:val="18"/>
      <w:lang w:eastAsia="en-US"/>
    </w:rPr>
  </w:style>
  <w:style w:type="paragraph" w:styleId="Continuarlista">
    <w:name w:val="List Continue"/>
    <w:basedOn w:val="Normal"/>
    <w:uiPriority w:val="99"/>
    <w:semiHidden/>
    <w:unhideWhenUsed/>
    <w:rsid w:val="00D33991"/>
    <w:pPr>
      <w:spacing w:after="120"/>
      <w:ind w:left="283"/>
      <w:contextualSpacing/>
    </w:pPr>
  </w:style>
  <w:style w:type="paragraph" w:styleId="Textodeglobo">
    <w:name w:val="Balloon Text"/>
    <w:basedOn w:val="Normal"/>
    <w:link w:val="TextodegloboCar"/>
    <w:uiPriority w:val="99"/>
    <w:semiHidden/>
    <w:unhideWhenUsed/>
    <w:rsid w:val="00D339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991"/>
    <w:rPr>
      <w:rFonts w:ascii="Segoe UI" w:eastAsia="Calibri" w:hAnsi="Segoe UI" w:cs="Segoe UI"/>
      <w:sz w:val="18"/>
      <w:szCs w:val="18"/>
      <w:lang w:eastAsia="es-CO"/>
    </w:rPr>
  </w:style>
  <w:style w:type="paragraph" w:styleId="Asuntodelcomentario">
    <w:name w:val="annotation subject"/>
    <w:basedOn w:val="Textocomentario"/>
    <w:next w:val="Textocomentario"/>
    <w:link w:val="AsuntodelcomentarioCar"/>
    <w:uiPriority w:val="99"/>
    <w:semiHidden/>
    <w:unhideWhenUsed/>
    <w:rsid w:val="00F9012C"/>
    <w:rPr>
      <w:b/>
      <w:bCs/>
      <w:lang w:val="es-CO"/>
    </w:rPr>
  </w:style>
  <w:style w:type="character" w:customStyle="1" w:styleId="AsuntodelcomentarioCar">
    <w:name w:val="Asunto del comentario Car"/>
    <w:basedOn w:val="TextocomentarioCar"/>
    <w:link w:val="Asuntodelcomentario"/>
    <w:uiPriority w:val="99"/>
    <w:semiHidden/>
    <w:rsid w:val="00F9012C"/>
    <w:rPr>
      <w:rFonts w:ascii="Times New Roman" w:eastAsia="Calibri" w:hAnsi="Times New Roman" w:cs="Times New Roman"/>
      <w:b/>
      <w:bCs/>
      <w:sz w:val="20"/>
      <w:szCs w:val="20"/>
      <w:lang w:val="x-none" w:eastAsia="es-CO"/>
    </w:rPr>
  </w:style>
  <w:style w:type="paragraph" w:styleId="Subttulo">
    <w:name w:val="Subtitle"/>
    <w:basedOn w:val="Normal"/>
    <w:link w:val="SubttuloCar"/>
    <w:qFormat/>
    <w:rsid w:val="009A47C6"/>
    <w:pPr>
      <w:spacing w:after="60"/>
      <w:jc w:val="center"/>
      <w:outlineLvl w:val="1"/>
    </w:pPr>
    <w:rPr>
      <w:rFonts w:ascii="Tahoma" w:eastAsia="Times New Roman" w:hAnsi="Tahoma"/>
      <w:szCs w:val="20"/>
      <w:lang w:val="es-ES" w:eastAsia="es-ES"/>
    </w:rPr>
  </w:style>
  <w:style w:type="character" w:customStyle="1" w:styleId="SubttuloCar">
    <w:name w:val="Subtítulo Car"/>
    <w:basedOn w:val="Fuentedeprrafopredeter"/>
    <w:link w:val="Subttulo"/>
    <w:rsid w:val="009A47C6"/>
    <w:rPr>
      <w:rFonts w:ascii="Tahoma" w:eastAsia="Times New Roman" w:hAnsi="Tahoma" w:cs="Times New Roman"/>
      <w:sz w:val="24"/>
      <w:szCs w:val="20"/>
      <w:lang w:val="es-ES" w:eastAsia="es-ES"/>
    </w:rPr>
  </w:style>
  <w:style w:type="character" w:customStyle="1" w:styleId="PrrafodelistaCar">
    <w:name w:val="Párrafo de lista Car"/>
    <w:aliases w:val="Viñetas - bolitas 3er nivel Car"/>
    <w:link w:val="Prrafodelista"/>
    <w:uiPriority w:val="99"/>
    <w:locked/>
    <w:rsid w:val="0093197C"/>
    <w:rPr>
      <w:rFonts w:ascii="Times New Roman" w:eastAsia="Calibri" w:hAnsi="Times New Roman" w:cs="Times New Roman"/>
      <w:sz w:val="24"/>
      <w:szCs w:val="24"/>
      <w:lang w:eastAsia="es-CO"/>
    </w:rPr>
  </w:style>
  <w:style w:type="paragraph" w:customStyle="1" w:styleId="estilo10">
    <w:name w:val="estilo1"/>
    <w:basedOn w:val="Normal"/>
    <w:rsid w:val="0093197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488625">
      <w:bodyDiv w:val="1"/>
      <w:marLeft w:val="0"/>
      <w:marRight w:val="0"/>
      <w:marTop w:val="0"/>
      <w:marBottom w:val="0"/>
      <w:divBdr>
        <w:top w:val="none" w:sz="0" w:space="0" w:color="auto"/>
        <w:left w:val="none" w:sz="0" w:space="0" w:color="auto"/>
        <w:bottom w:val="none" w:sz="0" w:space="0" w:color="auto"/>
        <w:right w:val="none" w:sz="0" w:space="0" w:color="auto"/>
      </w:divBdr>
    </w:div>
    <w:div w:id="1125469115">
      <w:bodyDiv w:val="1"/>
      <w:marLeft w:val="0"/>
      <w:marRight w:val="0"/>
      <w:marTop w:val="0"/>
      <w:marBottom w:val="0"/>
      <w:divBdr>
        <w:top w:val="none" w:sz="0" w:space="0" w:color="auto"/>
        <w:left w:val="none" w:sz="0" w:space="0" w:color="auto"/>
        <w:bottom w:val="none" w:sz="0" w:space="0" w:color="auto"/>
        <w:right w:val="none" w:sz="0" w:space="0" w:color="auto"/>
      </w:divBdr>
    </w:div>
    <w:div w:id="169646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D4F4CA20BD2B4DBCE4A8F9D119DF36" ma:contentTypeVersion="13" ma:contentTypeDescription="Crear nuevo documento." ma:contentTypeScope="" ma:versionID="ec4fde0a448f18b0e7d6468c623684c7">
  <xsd:schema xmlns:xsd="http://www.w3.org/2001/XMLSchema" xmlns:xs="http://www.w3.org/2001/XMLSchema" xmlns:p="http://schemas.microsoft.com/office/2006/metadata/properties" xmlns:ns3="877d80b6-9e48-446a-955d-ae21d5a9782d" xmlns:ns4="a6deaa59-896e-4381-bee1-0d904fb608f0" targetNamespace="http://schemas.microsoft.com/office/2006/metadata/properties" ma:root="true" ma:fieldsID="cbadda525e00052a9a5d8e596e94c738" ns3:_="" ns4:_="">
    <xsd:import namespace="877d80b6-9e48-446a-955d-ae21d5a9782d"/>
    <xsd:import namespace="a6deaa59-896e-4381-bee1-0d904fb608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80b6-9e48-446a-955d-ae21d5a97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eaa59-896e-4381-bee1-0d904fb608f0"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362C-F037-4B7B-9078-A82C25EBE976}">
  <ds:schemaRefs>
    <ds:schemaRef ds:uri="http://schemas.microsoft.com/sharepoint/v3/contenttype/forms"/>
  </ds:schemaRefs>
</ds:datastoreItem>
</file>

<file path=customXml/itemProps2.xml><?xml version="1.0" encoding="utf-8"?>
<ds:datastoreItem xmlns:ds="http://schemas.openxmlformats.org/officeDocument/2006/customXml" ds:itemID="{CD964E2C-4B33-4A58-AA10-0B7BC8C753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E81D46-F17B-4847-A43B-6DFC36A55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d80b6-9e48-446a-955d-ae21d5a9782d"/>
    <ds:schemaRef ds:uri="a6deaa59-896e-4381-bee1-0d904fb60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AED64-FCED-4AB4-AAE9-631487BD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1331</Words>
  <Characters>7325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Fernando Gomez Castrillon</dc:creator>
  <cp:keywords/>
  <dc:description/>
  <cp:lastModifiedBy>Fabiola Tellez Fontecha</cp:lastModifiedBy>
  <cp:revision>2</cp:revision>
  <dcterms:created xsi:type="dcterms:W3CDTF">2020-06-18T14:51:00Z</dcterms:created>
  <dcterms:modified xsi:type="dcterms:W3CDTF">2020-06-18T14:51:00Z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0x01010068D4F4CA20BD2B4DBCE4A8F9D119DF36</vt:lpwstr>
  </property>
</Properties>
</file>