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766E" w:rsidRPr="00077FC7" w:rsidRDefault="0007766E" w:rsidP="0007766E">
      <w:pPr>
        <w:pStyle w:val="NormalWeb"/>
        <w:spacing w:before="0" w:beforeAutospacing="0" w:after="0" w:afterAutospacing="0" w:line="264" w:lineRule="auto"/>
        <w:rPr>
          <w:rFonts w:ascii="Arial Narrow" w:eastAsia="Batang" w:hAnsi="Arial Narrow" w:cs="Arial"/>
          <w:b/>
          <w:caps/>
          <w:color w:val="000000" w:themeColor="text1"/>
          <w:sz w:val="22"/>
          <w:szCs w:val="22"/>
          <w:lang w:eastAsia="ko-KR"/>
        </w:rPr>
      </w:pPr>
    </w:p>
    <w:p w:rsidR="0007766E" w:rsidRPr="00077FC7" w:rsidRDefault="0007766E" w:rsidP="0007766E">
      <w:pPr>
        <w:pStyle w:val="NormalWeb"/>
        <w:spacing w:before="0" w:beforeAutospacing="0" w:after="0" w:afterAutospacing="0" w:line="264" w:lineRule="auto"/>
        <w:ind w:firstLine="708"/>
        <w:jc w:val="center"/>
        <w:rPr>
          <w:rFonts w:ascii="Arial Narrow" w:eastAsia="Batang" w:hAnsi="Arial Narrow" w:cs="Arial"/>
          <w:b/>
          <w:caps/>
          <w:color w:val="000000" w:themeColor="text1"/>
          <w:sz w:val="22"/>
          <w:szCs w:val="22"/>
          <w:lang w:eastAsia="ko-KR"/>
        </w:rPr>
      </w:pPr>
      <w:r w:rsidRPr="00077FC7">
        <w:rPr>
          <w:rFonts w:ascii="Arial Narrow" w:eastAsia="Batang" w:hAnsi="Arial Narrow" w:cs="Arial"/>
          <w:b/>
          <w:caps/>
          <w:color w:val="000000" w:themeColor="text1"/>
          <w:sz w:val="22"/>
          <w:szCs w:val="22"/>
          <w:lang w:eastAsia="ko-KR"/>
        </w:rPr>
        <w:t>Proyecto de RESOLUCI</w:t>
      </w:r>
      <w:r>
        <w:rPr>
          <w:rFonts w:ascii="Arial Narrow" w:eastAsia="Batang" w:hAnsi="Arial Narrow" w:cs="Arial"/>
          <w:b/>
          <w:caps/>
          <w:color w:val="000000" w:themeColor="text1"/>
          <w:sz w:val="22"/>
          <w:szCs w:val="22"/>
          <w:lang w:eastAsia="ko-KR"/>
        </w:rPr>
        <w:t>ón</w:t>
      </w:r>
    </w:p>
    <w:p w:rsidR="0007766E" w:rsidRPr="00077FC7" w:rsidRDefault="0007766E" w:rsidP="0007766E">
      <w:pPr>
        <w:spacing w:line="264" w:lineRule="auto"/>
        <w:jc w:val="center"/>
        <w:rPr>
          <w:rFonts w:ascii="Arial Narrow" w:hAnsi="Arial Narrow" w:cs="Arial"/>
          <w:i/>
          <w:sz w:val="22"/>
          <w:szCs w:val="22"/>
        </w:rPr>
      </w:pPr>
      <w:bookmarkStart w:id="0" w:name="_Hlk23847835"/>
    </w:p>
    <w:p w:rsidR="0007766E" w:rsidRPr="00077FC7" w:rsidRDefault="0007766E" w:rsidP="0007766E">
      <w:pPr>
        <w:spacing w:line="264" w:lineRule="auto"/>
        <w:jc w:val="center"/>
        <w:rPr>
          <w:rFonts w:ascii="Arial Narrow" w:eastAsia="Batang" w:hAnsi="Arial Narrow" w:cs="Arial"/>
          <w:b/>
          <w:i/>
          <w:caps/>
          <w:color w:val="000000" w:themeColor="text1"/>
          <w:sz w:val="22"/>
          <w:szCs w:val="22"/>
          <w:lang w:eastAsia="ko-KR"/>
        </w:rPr>
      </w:pPr>
      <w:r w:rsidRPr="00E2259D">
        <w:rPr>
          <w:rFonts w:ascii="Arial Narrow" w:hAnsi="Arial Narrow" w:cs="Tahoma"/>
          <w:i/>
          <w:sz w:val="22"/>
          <w:szCs w:val="22"/>
          <w:lang w:val="es-ES_tradnl"/>
        </w:rPr>
        <w:t xml:space="preserve">Por la cual se </w:t>
      </w:r>
      <w:r w:rsidRPr="005F07F0">
        <w:rPr>
          <w:rFonts w:ascii="Arial Narrow" w:hAnsi="Arial Narrow" w:cs="Tahoma"/>
          <w:bCs/>
          <w:i/>
          <w:sz w:val="22"/>
          <w:szCs w:val="22"/>
          <w:lang w:val="es-ES_tradnl"/>
        </w:rPr>
        <w:t>actualiza</w:t>
      </w:r>
      <w:r>
        <w:rPr>
          <w:rFonts w:ascii="Arial Narrow" w:hAnsi="Arial Narrow" w:cs="Tahoma"/>
          <w:b/>
          <w:bCs/>
          <w:i/>
          <w:sz w:val="22"/>
          <w:szCs w:val="22"/>
          <w:lang w:val="es-ES_tradnl"/>
        </w:rPr>
        <w:t xml:space="preserve"> </w:t>
      </w:r>
      <w:r w:rsidRPr="00E2259D">
        <w:rPr>
          <w:rFonts w:ascii="Arial Narrow" w:hAnsi="Arial Narrow" w:cs="Tahoma"/>
          <w:i/>
          <w:sz w:val="22"/>
          <w:szCs w:val="22"/>
          <w:lang w:val="es-ES_tradnl"/>
        </w:rPr>
        <w:t>el valor de la Tarifa de Concesión Variable (</w:t>
      </w:r>
      <w:proofErr w:type="spellStart"/>
      <w:r w:rsidRPr="00E2259D">
        <w:rPr>
          <w:rFonts w:ascii="Arial Narrow" w:hAnsi="Arial Narrow" w:cs="Tahoma"/>
          <w:i/>
          <w:sz w:val="22"/>
          <w:szCs w:val="22"/>
          <w:lang w:val="es-ES_tradnl"/>
        </w:rPr>
        <w:t>TCc</w:t>
      </w:r>
      <w:proofErr w:type="spellEnd"/>
      <w:r w:rsidRPr="00E2259D">
        <w:rPr>
          <w:rFonts w:ascii="Arial Narrow" w:hAnsi="Arial Narrow" w:cs="Tahoma"/>
          <w:i/>
          <w:sz w:val="22"/>
          <w:szCs w:val="22"/>
          <w:lang w:val="es-ES_tradnl"/>
        </w:rPr>
        <w:t>) para los operadores del servicio de televisión por suscripción</w:t>
      </w:r>
      <w:r>
        <w:rPr>
          <w:rFonts w:ascii="Arial Narrow" w:hAnsi="Arial Narrow" w:cs="Tahoma"/>
          <w:i/>
          <w:sz w:val="22"/>
          <w:szCs w:val="22"/>
          <w:lang w:val="es-ES_tradnl"/>
        </w:rPr>
        <w:t>,</w:t>
      </w:r>
      <w:r w:rsidRPr="00E2259D">
        <w:rPr>
          <w:rFonts w:ascii="Arial Narrow" w:hAnsi="Arial Narrow" w:cs="Tahoma"/>
          <w:i/>
          <w:sz w:val="22"/>
          <w:szCs w:val="22"/>
          <w:lang w:val="es-ES_tradnl"/>
        </w:rPr>
        <w:t xml:space="preserve"> de acuerdo con la </w:t>
      </w:r>
      <w:r w:rsidRPr="005F07F0">
        <w:rPr>
          <w:rFonts w:ascii="Arial Narrow" w:hAnsi="Arial Narrow" w:cs="Tahoma"/>
          <w:bCs/>
          <w:i/>
          <w:sz w:val="22"/>
          <w:szCs w:val="22"/>
          <w:lang w:val="es-ES_tradnl"/>
        </w:rPr>
        <w:t xml:space="preserve">Resolución ANTV 048 de </w:t>
      </w:r>
      <w:r w:rsidRPr="00953D44">
        <w:rPr>
          <w:rFonts w:ascii="Arial Narrow" w:hAnsi="Arial Narrow" w:cs="Tahoma"/>
          <w:bCs/>
          <w:i/>
          <w:sz w:val="22"/>
          <w:szCs w:val="22"/>
          <w:lang w:val="es-ES_tradnl"/>
        </w:rPr>
        <w:t>2012</w:t>
      </w:r>
      <w:r w:rsidRPr="00953D44">
        <w:rPr>
          <w:rFonts w:ascii="Arial Narrow" w:hAnsi="Arial Narrow" w:cs="Tahoma"/>
          <w:i/>
          <w:sz w:val="22"/>
          <w:szCs w:val="22"/>
          <w:lang w:val="es-ES_tradnl"/>
        </w:rPr>
        <w:t xml:space="preserve"> o resolución anexa al respectivo contrato de concesión</w:t>
      </w:r>
      <w:r>
        <w:rPr>
          <w:rFonts w:ascii="Arial Narrow" w:hAnsi="Arial Narrow" w:cs="Tahoma"/>
          <w:i/>
          <w:sz w:val="22"/>
          <w:szCs w:val="22"/>
          <w:lang w:val="es-ES_tradnl"/>
        </w:rPr>
        <w:t xml:space="preserve"> o anexo metodológico del contrato</w:t>
      </w:r>
      <w:r w:rsidRPr="00953D44">
        <w:rPr>
          <w:rFonts w:ascii="Arial Narrow" w:hAnsi="Arial Narrow" w:cs="Tahoma"/>
          <w:i/>
          <w:sz w:val="22"/>
          <w:szCs w:val="22"/>
          <w:lang w:val="es-ES_tradnl"/>
        </w:rPr>
        <w:t>, para el año 2020</w:t>
      </w:r>
    </w:p>
    <w:bookmarkEnd w:id="0"/>
    <w:p w:rsidR="0007766E" w:rsidRPr="00077FC7" w:rsidRDefault="0007766E" w:rsidP="0007766E">
      <w:pPr>
        <w:spacing w:line="264" w:lineRule="auto"/>
        <w:jc w:val="both"/>
        <w:rPr>
          <w:rFonts w:ascii="Arial Narrow" w:hAnsi="Arial Narrow" w:cs="Arial"/>
          <w:b/>
          <w:color w:val="000000" w:themeColor="text1"/>
          <w:sz w:val="22"/>
          <w:szCs w:val="22"/>
        </w:rPr>
      </w:pPr>
    </w:p>
    <w:p w:rsidR="0007766E" w:rsidRPr="00077FC7" w:rsidRDefault="0007766E" w:rsidP="0007766E">
      <w:pPr>
        <w:spacing w:line="264" w:lineRule="auto"/>
        <w:jc w:val="right"/>
        <w:rPr>
          <w:rFonts w:ascii="Arial Narrow" w:hAnsi="Arial Narrow" w:cs="Arial"/>
          <w:b/>
          <w:color w:val="000000" w:themeColor="text1"/>
          <w:sz w:val="22"/>
          <w:szCs w:val="22"/>
        </w:rPr>
      </w:pPr>
      <w:r w:rsidRPr="00077FC7">
        <w:rPr>
          <w:rFonts w:ascii="Arial Narrow" w:hAnsi="Arial Narrow" w:cs="Arial"/>
          <w:b/>
          <w:color w:val="000000" w:themeColor="text1"/>
          <w:sz w:val="22"/>
          <w:szCs w:val="22"/>
        </w:rPr>
        <w:t>Bogotá D.C., junio de 2020</w:t>
      </w:r>
    </w:p>
    <w:p w:rsidR="0007766E" w:rsidRPr="00077FC7" w:rsidRDefault="0007766E" w:rsidP="0007766E">
      <w:pPr>
        <w:spacing w:line="264" w:lineRule="auto"/>
        <w:jc w:val="right"/>
        <w:rPr>
          <w:rFonts w:ascii="Arial Narrow" w:hAnsi="Arial Narrow" w:cs="Arial"/>
          <w:b/>
          <w:color w:val="000000" w:themeColor="text1"/>
          <w:sz w:val="22"/>
          <w:szCs w:val="22"/>
        </w:rPr>
      </w:pPr>
    </w:p>
    <w:p w:rsidR="0007766E" w:rsidRPr="00077FC7" w:rsidRDefault="0007766E" w:rsidP="0007766E">
      <w:pPr>
        <w:spacing w:line="264" w:lineRule="auto"/>
        <w:jc w:val="both"/>
        <w:rPr>
          <w:rFonts w:ascii="Arial Narrow" w:hAnsi="Arial Narrow" w:cs="Arial"/>
          <w:b/>
          <w:color w:val="000000" w:themeColor="text1"/>
          <w:sz w:val="22"/>
          <w:szCs w:val="22"/>
        </w:rPr>
      </w:pPr>
    </w:p>
    <w:p w:rsidR="0007766E" w:rsidRPr="00077FC7" w:rsidRDefault="0007766E" w:rsidP="0007766E">
      <w:pPr>
        <w:spacing w:line="264" w:lineRule="auto"/>
        <w:ind w:left="705" w:hanging="705"/>
        <w:jc w:val="both"/>
        <w:rPr>
          <w:rFonts w:ascii="Arial Narrow" w:hAnsi="Arial Narrow" w:cs="Arial"/>
          <w:b/>
          <w:color w:val="000000" w:themeColor="text1"/>
          <w:sz w:val="22"/>
          <w:szCs w:val="22"/>
          <w:lang w:val="es-ES_tradnl"/>
        </w:rPr>
      </w:pPr>
      <w:r w:rsidRPr="00077FC7">
        <w:rPr>
          <w:rFonts w:ascii="Arial Narrow" w:hAnsi="Arial Narrow" w:cs="Arial"/>
          <w:b/>
          <w:color w:val="000000" w:themeColor="text1"/>
          <w:sz w:val="22"/>
          <w:szCs w:val="22"/>
          <w:lang w:val="es-ES_tradnl"/>
        </w:rPr>
        <w:t>1.</w:t>
      </w:r>
      <w:r w:rsidRPr="00077FC7">
        <w:rPr>
          <w:rFonts w:ascii="Arial Narrow" w:hAnsi="Arial Narrow" w:cs="Arial"/>
          <w:b/>
          <w:color w:val="000000" w:themeColor="text1"/>
          <w:sz w:val="22"/>
          <w:szCs w:val="22"/>
          <w:lang w:val="es-ES_tradnl"/>
        </w:rPr>
        <w:tab/>
        <w:t>Antecedentes y las razones de oportunidad y conveniencia que justifican la expedición de la norma</w:t>
      </w:r>
    </w:p>
    <w:p w:rsidR="0007766E" w:rsidRPr="00077FC7" w:rsidRDefault="0007766E" w:rsidP="0007766E">
      <w:pPr>
        <w:spacing w:line="264" w:lineRule="auto"/>
        <w:jc w:val="both"/>
        <w:rPr>
          <w:rFonts w:ascii="Arial Narrow" w:hAnsi="Arial Narrow" w:cs="Arial"/>
          <w:color w:val="000000" w:themeColor="text1"/>
          <w:sz w:val="22"/>
          <w:szCs w:val="22"/>
        </w:rPr>
      </w:pPr>
    </w:p>
    <w:p w:rsidR="0007766E" w:rsidRPr="00077FC7" w:rsidRDefault="0007766E" w:rsidP="0007766E">
      <w:pPr>
        <w:spacing w:line="264" w:lineRule="auto"/>
        <w:ind w:left="-142"/>
        <w:jc w:val="both"/>
        <w:outlineLvl w:val="0"/>
        <w:rPr>
          <w:rFonts w:ascii="Arial Narrow" w:hAnsi="Arial Narrow" w:cs="Arial"/>
          <w:sz w:val="22"/>
          <w:szCs w:val="22"/>
          <w:lang w:val="es-ES"/>
        </w:rPr>
      </w:pPr>
      <w:r w:rsidRPr="00077FC7">
        <w:rPr>
          <w:rFonts w:ascii="Arial Narrow" w:hAnsi="Arial Narrow" w:cs="Arial"/>
          <w:sz w:val="22"/>
          <w:szCs w:val="22"/>
          <w:lang w:val="es-ES"/>
        </w:rPr>
        <w:t xml:space="preserve">Los artículos 39 y 43 de La Ley 1978 del 25 de julio de 2019, dispusieron la supresión y liquidación de la Autoridad Nacional de Televisión, así como la sustitución de la posición contractual, judicial y administrativa por parte del Ministerio de Tecnologías de la Información y las Comunicaciones. Adicionalmente, la citada Ley en su </w:t>
      </w:r>
      <w:r w:rsidRPr="00077FC7">
        <w:rPr>
          <w:rFonts w:ascii="Arial Narrow" w:hAnsi="Arial Narrow" w:cs="Arial"/>
          <w:sz w:val="22"/>
          <w:szCs w:val="22"/>
        </w:rPr>
        <w:t>artículo 14, modificó el artículo 18 de la Ley 1341 de 2009 estableciendo que es función del Ministerio de Tecnologías de la Información y las Comunicaciones “Fijar las tarifas, tasas y derechos, asociados a la concesión, a que se refiere la Ley 182 de 1995”</w:t>
      </w:r>
    </w:p>
    <w:p w:rsidR="0007766E" w:rsidRPr="00077FC7" w:rsidRDefault="0007766E" w:rsidP="0007766E">
      <w:pPr>
        <w:spacing w:line="264" w:lineRule="auto"/>
        <w:ind w:left="-142"/>
        <w:outlineLvl w:val="0"/>
        <w:rPr>
          <w:rFonts w:ascii="Arial Narrow" w:hAnsi="Arial Narrow" w:cs="Arial"/>
          <w:sz w:val="22"/>
          <w:szCs w:val="22"/>
        </w:rPr>
      </w:pPr>
    </w:p>
    <w:p w:rsidR="0007766E" w:rsidRPr="00077FC7" w:rsidRDefault="0007766E" w:rsidP="0007766E">
      <w:pPr>
        <w:spacing w:line="264" w:lineRule="auto"/>
        <w:jc w:val="both"/>
        <w:outlineLvl w:val="0"/>
        <w:rPr>
          <w:rFonts w:ascii="Arial Narrow" w:hAnsi="Arial Narrow" w:cs="Arial"/>
          <w:b/>
          <w:sz w:val="22"/>
          <w:szCs w:val="22"/>
          <w:u w:val="single"/>
          <w:lang w:val="es-ES"/>
        </w:rPr>
      </w:pPr>
      <w:r>
        <w:rPr>
          <w:rFonts w:ascii="Arial Narrow" w:hAnsi="Arial Narrow" w:cs="Arial"/>
          <w:b/>
          <w:sz w:val="22"/>
          <w:szCs w:val="22"/>
          <w:u w:val="single"/>
          <w:lang w:val="es-ES"/>
        </w:rPr>
        <w:t>A</w:t>
      </w:r>
      <w:r w:rsidRPr="00077FC7">
        <w:rPr>
          <w:rFonts w:ascii="Arial Narrow" w:hAnsi="Arial Narrow" w:cs="Arial"/>
          <w:b/>
          <w:sz w:val="22"/>
          <w:szCs w:val="22"/>
          <w:u w:val="single"/>
          <w:lang w:val="es-ES"/>
        </w:rPr>
        <w:t xml:space="preserve">ctualización Tarifa de Concesión Variable </w:t>
      </w:r>
      <w:proofErr w:type="spellStart"/>
      <w:r w:rsidRPr="00077FC7">
        <w:rPr>
          <w:rFonts w:ascii="Arial Narrow" w:hAnsi="Arial Narrow" w:cs="Arial"/>
          <w:b/>
          <w:sz w:val="22"/>
          <w:szCs w:val="22"/>
          <w:u w:val="single"/>
          <w:lang w:val="es-ES"/>
        </w:rPr>
        <w:t>TCc</w:t>
      </w:r>
      <w:proofErr w:type="spellEnd"/>
      <w:r w:rsidRPr="00077FC7">
        <w:rPr>
          <w:rFonts w:ascii="Arial Narrow" w:hAnsi="Arial Narrow" w:cs="Arial"/>
          <w:b/>
          <w:sz w:val="22"/>
          <w:szCs w:val="22"/>
          <w:u w:val="single"/>
          <w:lang w:val="es-ES"/>
        </w:rPr>
        <w:t xml:space="preserve"> establecida en la Resolución 048 de 20012 o Resolución anexa a los contratos de concesión</w:t>
      </w:r>
      <w:r>
        <w:rPr>
          <w:rFonts w:ascii="Arial Narrow" w:hAnsi="Arial Narrow" w:cs="Arial"/>
          <w:b/>
          <w:sz w:val="22"/>
          <w:szCs w:val="22"/>
          <w:u w:val="single"/>
          <w:lang w:val="es-ES"/>
        </w:rPr>
        <w:t xml:space="preserve"> o su anexo metodológico </w:t>
      </w:r>
    </w:p>
    <w:p w:rsidR="0007766E" w:rsidRPr="00077FC7" w:rsidRDefault="0007766E" w:rsidP="0007766E">
      <w:pPr>
        <w:spacing w:line="264" w:lineRule="auto"/>
        <w:ind w:left="-142"/>
        <w:jc w:val="both"/>
        <w:outlineLvl w:val="0"/>
        <w:rPr>
          <w:rFonts w:ascii="Arial Narrow" w:hAnsi="Arial Narrow" w:cs="Arial"/>
          <w:b/>
          <w:sz w:val="22"/>
          <w:szCs w:val="22"/>
          <w:u w:val="single"/>
          <w:lang w:val="es-ES"/>
        </w:rPr>
      </w:pPr>
    </w:p>
    <w:p w:rsidR="0007766E" w:rsidRPr="00077FC7" w:rsidRDefault="0007766E" w:rsidP="0007766E">
      <w:pPr>
        <w:pStyle w:val="Subttulo"/>
        <w:spacing w:after="0" w:line="264" w:lineRule="auto"/>
        <w:ind w:right="-2"/>
        <w:rPr>
          <w:rFonts w:ascii="Arial Narrow" w:hAnsi="Arial Narrow" w:cs="Tahoma"/>
          <w:i/>
          <w:sz w:val="22"/>
          <w:szCs w:val="22"/>
          <w:lang w:val="es-CO"/>
        </w:rPr>
      </w:pPr>
      <w:r w:rsidRPr="00077FC7">
        <w:rPr>
          <w:rFonts w:ascii="Arial Narrow" w:hAnsi="Arial Narrow" w:cs="Arial"/>
          <w:i/>
          <w:sz w:val="22"/>
          <w:szCs w:val="22"/>
        </w:rPr>
        <w:t xml:space="preserve"> “</w:t>
      </w:r>
      <w:r w:rsidRPr="00E2259D">
        <w:rPr>
          <w:rFonts w:ascii="Arial Narrow" w:hAnsi="Arial Narrow" w:cs="Tahoma"/>
          <w:i/>
          <w:sz w:val="22"/>
          <w:szCs w:val="22"/>
          <w:lang w:val="es-ES_tradnl"/>
        </w:rPr>
        <w:t xml:space="preserve">Por la cual se </w:t>
      </w:r>
      <w:r w:rsidRPr="005F07F0">
        <w:rPr>
          <w:rFonts w:ascii="Arial Narrow" w:hAnsi="Arial Narrow" w:cs="Tahoma"/>
          <w:bCs/>
          <w:i/>
          <w:sz w:val="22"/>
          <w:szCs w:val="22"/>
          <w:lang w:val="es-ES_tradnl"/>
        </w:rPr>
        <w:t>actualiza</w:t>
      </w:r>
      <w:r>
        <w:rPr>
          <w:rFonts w:ascii="Arial Narrow" w:hAnsi="Arial Narrow" w:cs="Tahoma"/>
          <w:b/>
          <w:bCs/>
          <w:i/>
          <w:sz w:val="22"/>
          <w:szCs w:val="22"/>
          <w:lang w:val="es-ES_tradnl"/>
        </w:rPr>
        <w:t xml:space="preserve"> </w:t>
      </w:r>
      <w:r w:rsidRPr="00E2259D">
        <w:rPr>
          <w:rFonts w:ascii="Arial Narrow" w:hAnsi="Arial Narrow" w:cs="Tahoma"/>
          <w:i/>
          <w:sz w:val="22"/>
          <w:szCs w:val="22"/>
          <w:lang w:val="es-ES_tradnl"/>
        </w:rPr>
        <w:t>el valor de la Tarifa de Concesión Variable (</w:t>
      </w:r>
      <w:proofErr w:type="spellStart"/>
      <w:r w:rsidRPr="00E2259D">
        <w:rPr>
          <w:rFonts w:ascii="Arial Narrow" w:hAnsi="Arial Narrow" w:cs="Tahoma"/>
          <w:i/>
          <w:sz w:val="22"/>
          <w:szCs w:val="22"/>
          <w:lang w:val="es-ES_tradnl"/>
        </w:rPr>
        <w:t>TCc</w:t>
      </w:r>
      <w:proofErr w:type="spellEnd"/>
      <w:r w:rsidRPr="00E2259D">
        <w:rPr>
          <w:rFonts w:ascii="Arial Narrow" w:hAnsi="Arial Narrow" w:cs="Tahoma"/>
          <w:i/>
          <w:sz w:val="22"/>
          <w:szCs w:val="22"/>
          <w:lang w:val="es-ES_tradnl"/>
        </w:rPr>
        <w:t>) para los operadores del servicio de televisión por suscripción</w:t>
      </w:r>
      <w:r>
        <w:rPr>
          <w:rFonts w:ascii="Arial Narrow" w:hAnsi="Arial Narrow" w:cs="Tahoma"/>
          <w:i/>
          <w:sz w:val="22"/>
          <w:szCs w:val="22"/>
          <w:lang w:val="es-ES_tradnl"/>
        </w:rPr>
        <w:t>,</w:t>
      </w:r>
      <w:r w:rsidRPr="00E2259D">
        <w:rPr>
          <w:rFonts w:ascii="Arial Narrow" w:hAnsi="Arial Narrow" w:cs="Tahoma"/>
          <w:i/>
          <w:sz w:val="22"/>
          <w:szCs w:val="22"/>
          <w:lang w:val="es-ES_tradnl"/>
        </w:rPr>
        <w:t xml:space="preserve"> de acuerdo con la </w:t>
      </w:r>
      <w:r w:rsidRPr="005F07F0">
        <w:rPr>
          <w:rFonts w:ascii="Arial Narrow" w:hAnsi="Arial Narrow" w:cs="Tahoma"/>
          <w:bCs/>
          <w:i/>
          <w:sz w:val="22"/>
          <w:szCs w:val="22"/>
          <w:lang w:val="es-ES_tradnl"/>
        </w:rPr>
        <w:t xml:space="preserve">Resolución ANTV 048 de </w:t>
      </w:r>
      <w:r w:rsidRPr="00953D44">
        <w:rPr>
          <w:rFonts w:ascii="Arial Narrow" w:hAnsi="Arial Narrow" w:cs="Tahoma"/>
          <w:bCs/>
          <w:i/>
          <w:sz w:val="22"/>
          <w:szCs w:val="22"/>
          <w:lang w:val="es-ES_tradnl"/>
        </w:rPr>
        <w:t>2012</w:t>
      </w:r>
      <w:r w:rsidRPr="00953D44">
        <w:rPr>
          <w:rFonts w:ascii="Arial Narrow" w:hAnsi="Arial Narrow" w:cs="Tahoma"/>
          <w:i/>
          <w:sz w:val="22"/>
          <w:szCs w:val="22"/>
          <w:lang w:val="es-ES_tradnl"/>
        </w:rPr>
        <w:t xml:space="preserve"> o resolución anexa al respectivo contrato de concesión</w:t>
      </w:r>
      <w:r>
        <w:rPr>
          <w:rFonts w:ascii="Arial Narrow" w:hAnsi="Arial Narrow" w:cs="Tahoma"/>
          <w:i/>
          <w:sz w:val="22"/>
          <w:szCs w:val="22"/>
          <w:lang w:val="es-ES_tradnl"/>
        </w:rPr>
        <w:t xml:space="preserve"> o anexo metodológico del contrato</w:t>
      </w:r>
      <w:r w:rsidRPr="00953D44">
        <w:rPr>
          <w:rFonts w:ascii="Arial Narrow" w:hAnsi="Arial Narrow" w:cs="Tahoma"/>
          <w:i/>
          <w:sz w:val="22"/>
          <w:szCs w:val="22"/>
          <w:lang w:val="es-ES_tradnl"/>
        </w:rPr>
        <w:t>, para el año 2020</w:t>
      </w:r>
      <w:r w:rsidRPr="00077FC7">
        <w:rPr>
          <w:rFonts w:ascii="Arial Narrow" w:hAnsi="Arial Narrow" w:cs="Tahoma"/>
          <w:i/>
          <w:sz w:val="22"/>
          <w:szCs w:val="22"/>
          <w:lang w:val="es-CO"/>
        </w:rPr>
        <w:t>”</w:t>
      </w:r>
    </w:p>
    <w:p w:rsidR="0007766E" w:rsidRPr="00077FC7" w:rsidRDefault="0007766E" w:rsidP="0007766E">
      <w:pPr>
        <w:spacing w:line="264" w:lineRule="auto"/>
        <w:jc w:val="both"/>
        <w:rPr>
          <w:rFonts w:ascii="Arial Narrow" w:hAnsi="Arial Narrow" w:cs="Arial"/>
          <w:color w:val="000000" w:themeColor="text1"/>
          <w:sz w:val="22"/>
          <w:szCs w:val="22"/>
        </w:rPr>
      </w:pPr>
    </w:p>
    <w:p w:rsidR="007D5F91" w:rsidRPr="007D5F91" w:rsidRDefault="0007766E" w:rsidP="007D5F91">
      <w:pPr>
        <w:pStyle w:val="Prrafodelista"/>
        <w:tabs>
          <w:tab w:val="left" w:pos="1701"/>
          <w:tab w:val="left" w:pos="8647"/>
        </w:tabs>
        <w:ind w:left="0"/>
        <w:jc w:val="both"/>
        <w:rPr>
          <w:rFonts w:ascii="Arial Narrow" w:hAnsi="Arial Narrow" w:cs="Arial"/>
          <w:sz w:val="22"/>
          <w:szCs w:val="22"/>
          <w:lang w:val="es-ES"/>
        </w:rPr>
      </w:pPr>
      <w:r w:rsidRPr="00077FC7">
        <w:rPr>
          <w:rFonts w:ascii="Arial Narrow" w:hAnsi="Arial Narrow" w:cs="Arial"/>
          <w:sz w:val="22"/>
          <w:szCs w:val="22"/>
          <w:lang w:val="es-ES"/>
        </w:rPr>
        <w:t>La Resolución ANTV No. 1813 de 2017,</w:t>
      </w:r>
      <w:r>
        <w:rPr>
          <w:rFonts w:ascii="Arial Narrow" w:hAnsi="Arial Narrow" w:cs="Arial"/>
          <w:sz w:val="22"/>
          <w:szCs w:val="22"/>
          <w:lang w:val="es-ES"/>
        </w:rPr>
        <w:t xml:space="preserve"> mediante la cual la ANTV (hoy en liquidación) definió las tarifas de concesión y </w:t>
      </w:r>
      <w:r w:rsidR="007D5F91">
        <w:rPr>
          <w:rFonts w:ascii="Arial Narrow" w:hAnsi="Arial Narrow" w:cs="Arial"/>
          <w:sz w:val="22"/>
          <w:szCs w:val="22"/>
          <w:lang w:val="es-ES"/>
        </w:rPr>
        <w:t>c</w:t>
      </w:r>
      <w:r>
        <w:rPr>
          <w:rFonts w:ascii="Arial Narrow" w:hAnsi="Arial Narrow" w:cs="Arial"/>
          <w:sz w:val="22"/>
          <w:szCs w:val="22"/>
          <w:lang w:val="es-ES"/>
        </w:rPr>
        <w:t xml:space="preserve">ompensación para los operadores de televisión por suscripción que regirían a partir del 1 de noviembre de 2017, </w:t>
      </w:r>
      <w:r w:rsidRPr="00077FC7">
        <w:rPr>
          <w:rFonts w:ascii="Arial Narrow" w:hAnsi="Arial Narrow" w:cs="Arial"/>
          <w:sz w:val="22"/>
          <w:szCs w:val="22"/>
          <w:lang w:val="es-ES"/>
        </w:rPr>
        <w:t xml:space="preserve"> en el artículo 1, especificó que </w:t>
      </w:r>
      <w:r>
        <w:rPr>
          <w:rFonts w:ascii="Arial Narrow" w:hAnsi="Arial Narrow" w:cs="Arial"/>
          <w:sz w:val="22"/>
          <w:szCs w:val="22"/>
          <w:lang w:val="es-ES"/>
        </w:rPr>
        <w:t xml:space="preserve">las tarifas de concesión solamente le </w:t>
      </w:r>
      <w:r w:rsidR="007D5F91" w:rsidRPr="007D5F91">
        <w:rPr>
          <w:rFonts w:ascii="Arial Narrow" w:hAnsi="Arial Narrow" w:cs="Arial"/>
          <w:sz w:val="22"/>
          <w:szCs w:val="22"/>
          <w:lang w:val="es-ES"/>
        </w:rPr>
        <w:t>aplica a las nuevas concesiones y las prórrogas futuras y cuando se trata de las concesiones en las que se suscribieron prórrogas que previeron la modificación de la metodología y el sistema de contraprestaciones del servicio.</w:t>
      </w:r>
    </w:p>
    <w:p w:rsidR="007D5F91" w:rsidRPr="007D5F91" w:rsidRDefault="007D5F91" w:rsidP="0007766E">
      <w:pPr>
        <w:spacing w:line="264" w:lineRule="auto"/>
        <w:ind w:left="-142"/>
        <w:jc w:val="both"/>
        <w:outlineLvl w:val="0"/>
        <w:rPr>
          <w:rFonts w:ascii="Arial Narrow" w:hAnsi="Arial Narrow" w:cs="Arial"/>
          <w:sz w:val="22"/>
          <w:szCs w:val="22"/>
          <w:lang w:val="es-ES"/>
        </w:rPr>
      </w:pPr>
    </w:p>
    <w:p w:rsidR="007D5F91" w:rsidRDefault="007D5F91" w:rsidP="0007766E">
      <w:pPr>
        <w:spacing w:line="264" w:lineRule="auto"/>
        <w:ind w:left="-142"/>
        <w:jc w:val="both"/>
        <w:outlineLvl w:val="0"/>
        <w:rPr>
          <w:rFonts w:ascii="Arial Narrow" w:hAnsi="Arial Narrow" w:cs="Arial"/>
          <w:sz w:val="22"/>
          <w:szCs w:val="22"/>
          <w:lang w:val="es-ES"/>
        </w:rPr>
      </w:pPr>
    </w:p>
    <w:p w:rsidR="00C9528B" w:rsidRDefault="007D5F91" w:rsidP="0007766E">
      <w:pPr>
        <w:spacing w:line="264" w:lineRule="auto"/>
        <w:ind w:left="-142"/>
        <w:jc w:val="both"/>
        <w:outlineLvl w:val="0"/>
        <w:rPr>
          <w:rFonts w:ascii="Arial Narrow" w:hAnsi="Arial Narrow" w:cs="Arial"/>
          <w:sz w:val="22"/>
          <w:szCs w:val="22"/>
          <w:lang w:val="es-ES"/>
        </w:rPr>
      </w:pPr>
      <w:r>
        <w:rPr>
          <w:rFonts w:ascii="Arial Narrow" w:hAnsi="Arial Narrow" w:cs="Arial"/>
          <w:sz w:val="22"/>
          <w:szCs w:val="22"/>
          <w:lang w:val="es-ES"/>
        </w:rPr>
        <w:t xml:space="preserve">En este sentido los </w:t>
      </w:r>
      <w:r w:rsidR="0007766E" w:rsidRPr="00077FC7">
        <w:rPr>
          <w:rFonts w:ascii="Arial Narrow" w:hAnsi="Arial Narrow" w:cs="Arial"/>
          <w:sz w:val="22"/>
          <w:szCs w:val="22"/>
          <w:lang w:val="es-ES"/>
        </w:rPr>
        <w:t xml:space="preserve">operadores de televisión por suscripción que </w:t>
      </w:r>
      <w:r>
        <w:rPr>
          <w:rFonts w:ascii="Arial Narrow" w:hAnsi="Arial Narrow" w:cs="Arial"/>
          <w:sz w:val="22"/>
          <w:szCs w:val="22"/>
          <w:lang w:val="es-ES"/>
        </w:rPr>
        <w:t xml:space="preserve">a la entrada en vigencia de la </w:t>
      </w:r>
      <w:r w:rsidR="00EE5C36">
        <w:rPr>
          <w:rFonts w:ascii="Arial Narrow" w:hAnsi="Arial Narrow" w:cs="Arial"/>
          <w:sz w:val="22"/>
          <w:szCs w:val="22"/>
          <w:lang w:val="es-ES"/>
        </w:rPr>
        <w:t>L</w:t>
      </w:r>
      <w:r>
        <w:rPr>
          <w:rFonts w:ascii="Arial Narrow" w:hAnsi="Arial Narrow" w:cs="Arial"/>
          <w:sz w:val="22"/>
          <w:szCs w:val="22"/>
          <w:lang w:val="es-ES"/>
        </w:rPr>
        <w:t xml:space="preserve">ey 1978 </w:t>
      </w:r>
      <w:r w:rsidR="0007766E" w:rsidRPr="00077FC7">
        <w:rPr>
          <w:rFonts w:ascii="Arial Narrow" w:hAnsi="Arial Narrow" w:cs="Arial"/>
          <w:sz w:val="22"/>
          <w:szCs w:val="22"/>
          <w:lang w:val="es-ES"/>
        </w:rPr>
        <w:t xml:space="preserve">no hayan suscrito prórroga </w:t>
      </w:r>
      <w:r w:rsidR="00EE5C36">
        <w:rPr>
          <w:rFonts w:ascii="Arial Narrow" w:hAnsi="Arial Narrow" w:cs="Arial"/>
          <w:sz w:val="22"/>
          <w:szCs w:val="22"/>
          <w:lang w:val="es-ES"/>
        </w:rPr>
        <w:t>y no se hayan acogido al régimen de habilitación general, mantienen vigente la tarifa de concesión de acuerdo con sus condiciones contractuales, definidas en el caso de los prestadores de redes y servicios de telecomunicaciones públicos</w:t>
      </w:r>
      <w:r w:rsidR="00C9528B">
        <w:rPr>
          <w:rFonts w:ascii="Arial Narrow" w:hAnsi="Arial Narrow" w:cs="Arial"/>
          <w:sz w:val="22"/>
          <w:szCs w:val="22"/>
          <w:lang w:val="es-ES"/>
        </w:rPr>
        <w:t xml:space="preserve"> en</w:t>
      </w:r>
      <w:r w:rsidR="00EE5C36">
        <w:rPr>
          <w:rFonts w:ascii="Arial Narrow" w:hAnsi="Arial Narrow" w:cs="Arial"/>
          <w:sz w:val="22"/>
          <w:szCs w:val="22"/>
          <w:lang w:val="es-ES"/>
        </w:rPr>
        <w:t xml:space="preserve"> l</w:t>
      </w:r>
      <w:r w:rsidR="00C9528B">
        <w:rPr>
          <w:rFonts w:ascii="Arial Narrow" w:hAnsi="Arial Narrow" w:cs="Arial"/>
          <w:sz w:val="22"/>
          <w:szCs w:val="22"/>
          <w:lang w:val="es-ES"/>
        </w:rPr>
        <w:t>a</w:t>
      </w:r>
      <w:r w:rsidR="00EE5C36">
        <w:rPr>
          <w:rFonts w:ascii="Arial Narrow" w:hAnsi="Arial Narrow" w:cs="Arial"/>
          <w:sz w:val="22"/>
          <w:szCs w:val="22"/>
          <w:lang w:val="es-ES"/>
        </w:rPr>
        <w:t xml:space="preserve"> la </w:t>
      </w:r>
      <w:r w:rsidR="0007766E" w:rsidRPr="00077FC7">
        <w:rPr>
          <w:rFonts w:ascii="Arial Narrow" w:hAnsi="Arial Narrow" w:cs="Arial"/>
          <w:sz w:val="22"/>
          <w:szCs w:val="22"/>
          <w:lang w:val="es-ES"/>
        </w:rPr>
        <w:t>Resolución ANTV 048 de 2012</w:t>
      </w:r>
      <w:r w:rsidR="00EE5C36">
        <w:rPr>
          <w:rFonts w:ascii="Arial Narrow" w:hAnsi="Arial Narrow" w:cs="Arial"/>
          <w:sz w:val="22"/>
          <w:szCs w:val="22"/>
          <w:lang w:val="es-ES"/>
        </w:rPr>
        <w:t xml:space="preserve">, en el caso de las prórrogas </w:t>
      </w:r>
      <w:r w:rsidR="00C9528B">
        <w:rPr>
          <w:rFonts w:ascii="Arial Narrow" w:hAnsi="Arial Narrow" w:cs="Arial"/>
          <w:sz w:val="22"/>
          <w:szCs w:val="22"/>
          <w:lang w:val="es-ES"/>
        </w:rPr>
        <w:t xml:space="preserve">suscritas en el año 2010 correspondientes a los contratos otorgados mediante las licitaciones 1, 2 y 3 de 1999 </w:t>
      </w:r>
      <w:r w:rsidR="00EE5C36">
        <w:rPr>
          <w:rFonts w:ascii="Arial Narrow" w:hAnsi="Arial Narrow" w:cs="Arial"/>
          <w:sz w:val="22"/>
          <w:szCs w:val="22"/>
          <w:lang w:val="es-ES"/>
        </w:rPr>
        <w:t xml:space="preserve">según resolución anexa al contrato y en el caso de los  </w:t>
      </w:r>
      <w:r w:rsidR="00C9528B">
        <w:rPr>
          <w:rFonts w:ascii="Arial Narrow" w:hAnsi="Arial Narrow" w:cs="Arial"/>
          <w:sz w:val="22"/>
          <w:szCs w:val="22"/>
          <w:lang w:val="es-ES"/>
        </w:rPr>
        <w:t>contratos celebrados producto de la licitación 001 de 2012 mediante anexo metodológico del contrato.</w:t>
      </w:r>
    </w:p>
    <w:p w:rsidR="0007766E" w:rsidRPr="00077FC7" w:rsidRDefault="00C9528B" w:rsidP="0007766E">
      <w:pPr>
        <w:spacing w:line="264" w:lineRule="auto"/>
        <w:ind w:left="-142"/>
        <w:jc w:val="both"/>
        <w:outlineLvl w:val="0"/>
        <w:rPr>
          <w:rFonts w:ascii="Arial Narrow" w:hAnsi="Arial Narrow" w:cs="Arial"/>
          <w:sz w:val="22"/>
          <w:szCs w:val="22"/>
          <w:lang w:val="es-ES"/>
        </w:rPr>
      </w:pPr>
      <w:r w:rsidRPr="00077FC7">
        <w:rPr>
          <w:rFonts w:ascii="Arial Narrow" w:hAnsi="Arial Narrow" w:cs="Arial"/>
          <w:sz w:val="22"/>
          <w:szCs w:val="22"/>
          <w:lang w:val="es-ES"/>
        </w:rPr>
        <w:t xml:space="preserve"> </w:t>
      </w:r>
    </w:p>
    <w:p w:rsidR="0007766E" w:rsidRPr="00077FC7" w:rsidRDefault="00C9528B" w:rsidP="0007766E">
      <w:pPr>
        <w:spacing w:line="264" w:lineRule="auto"/>
        <w:ind w:left="-142"/>
        <w:jc w:val="both"/>
        <w:outlineLvl w:val="0"/>
        <w:rPr>
          <w:rFonts w:ascii="Arial Narrow" w:hAnsi="Arial Narrow" w:cs="Arial"/>
          <w:sz w:val="22"/>
          <w:szCs w:val="22"/>
          <w:lang w:val="es-ES"/>
        </w:rPr>
      </w:pPr>
      <w:r>
        <w:rPr>
          <w:rFonts w:ascii="Arial Narrow" w:hAnsi="Arial Narrow" w:cs="Arial"/>
          <w:sz w:val="22"/>
          <w:szCs w:val="22"/>
          <w:lang w:val="es-ES"/>
        </w:rPr>
        <w:t>Ahora bien, de conformidad con</w:t>
      </w:r>
      <w:r w:rsidR="0007766E" w:rsidRPr="00077FC7">
        <w:rPr>
          <w:rFonts w:ascii="Arial Narrow" w:hAnsi="Arial Narrow" w:cs="Arial"/>
          <w:sz w:val="22"/>
          <w:szCs w:val="22"/>
          <w:lang w:val="es-ES"/>
        </w:rPr>
        <w:t xml:space="preserve"> la Resolución ANTV 048 de 2012</w:t>
      </w:r>
      <w:r>
        <w:rPr>
          <w:rFonts w:ascii="Arial Narrow" w:hAnsi="Arial Narrow" w:cs="Arial"/>
          <w:sz w:val="22"/>
          <w:szCs w:val="22"/>
          <w:lang w:val="es-ES"/>
        </w:rPr>
        <w:t>,</w:t>
      </w:r>
      <w:r w:rsidR="0007766E" w:rsidRPr="00077FC7">
        <w:rPr>
          <w:rFonts w:ascii="Arial Narrow" w:hAnsi="Arial Narrow" w:cs="Arial"/>
          <w:sz w:val="22"/>
          <w:szCs w:val="22"/>
          <w:lang w:val="es-ES"/>
        </w:rPr>
        <w:t xml:space="preserve"> las Resoluciones anexas al contrato</w:t>
      </w:r>
      <w:r>
        <w:rPr>
          <w:rFonts w:ascii="Arial Narrow" w:hAnsi="Arial Narrow" w:cs="Arial"/>
          <w:sz w:val="22"/>
          <w:szCs w:val="22"/>
          <w:lang w:val="es-ES"/>
        </w:rPr>
        <w:t xml:space="preserve"> o el anexo metodológico, según corresponda</w:t>
      </w:r>
      <w:r w:rsidR="0007766E" w:rsidRPr="00077FC7">
        <w:rPr>
          <w:rFonts w:ascii="Arial Narrow" w:hAnsi="Arial Narrow" w:cs="Arial"/>
          <w:sz w:val="22"/>
          <w:szCs w:val="22"/>
          <w:lang w:val="es-ES"/>
        </w:rPr>
        <w:t>, se establece que a partir del año 2013 el factor “Tarifa de Concesión Variable (</w:t>
      </w:r>
      <w:proofErr w:type="spellStart"/>
      <w:r w:rsidR="0007766E" w:rsidRPr="00077FC7">
        <w:rPr>
          <w:rFonts w:ascii="Arial Narrow" w:hAnsi="Arial Narrow" w:cs="Arial"/>
          <w:sz w:val="22"/>
          <w:szCs w:val="22"/>
          <w:lang w:val="es-ES"/>
        </w:rPr>
        <w:t>TCc</w:t>
      </w:r>
      <w:proofErr w:type="spellEnd"/>
      <w:r w:rsidR="0007766E" w:rsidRPr="00077FC7">
        <w:rPr>
          <w:rFonts w:ascii="Arial Narrow" w:hAnsi="Arial Narrow" w:cs="Arial"/>
          <w:sz w:val="22"/>
          <w:szCs w:val="22"/>
          <w:lang w:val="es-ES"/>
        </w:rPr>
        <w:t xml:space="preserve">)” se actualizará anualmente mediante resolución de acuerdo con la metodología allí establecida. </w:t>
      </w:r>
    </w:p>
    <w:p w:rsidR="0007766E" w:rsidRPr="00077FC7" w:rsidRDefault="0007766E" w:rsidP="0007766E">
      <w:pPr>
        <w:spacing w:line="264" w:lineRule="auto"/>
        <w:ind w:left="-142"/>
        <w:jc w:val="both"/>
        <w:outlineLvl w:val="0"/>
        <w:rPr>
          <w:rFonts w:ascii="Arial Narrow" w:hAnsi="Arial Narrow" w:cs="Arial"/>
          <w:sz w:val="22"/>
          <w:szCs w:val="22"/>
        </w:rPr>
      </w:pPr>
    </w:p>
    <w:p w:rsidR="0007766E" w:rsidRPr="00077FC7" w:rsidRDefault="0007766E" w:rsidP="0007766E">
      <w:pPr>
        <w:spacing w:line="264" w:lineRule="auto"/>
        <w:ind w:left="-142"/>
        <w:jc w:val="both"/>
        <w:outlineLvl w:val="0"/>
        <w:rPr>
          <w:rFonts w:ascii="Arial Narrow" w:hAnsi="Arial Narrow" w:cs="Arial"/>
          <w:spacing w:val="-2"/>
          <w:sz w:val="22"/>
          <w:szCs w:val="22"/>
        </w:rPr>
      </w:pPr>
      <w:r w:rsidRPr="00077FC7">
        <w:rPr>
          <w:rFonts w:ascii="Arial Narrow" w:hAnsi="Arial Narrow" w:cs="Arial"/>
          <w:sz w:val="22"/>
          <w:szCs w:val="22"/>
        </w:rPr>
        <w:lastRenderedPageBreak/>
        <w:t xml:space="preserve">De acuerdo con lo anterior, es necesario actualizar </w:t>
      </w:r>
      <w:r w:rsidRPr="00077FC7">
        <w:rPr>
          <w:rFonts w:ascii="Arial Narrow" w:hAnsi="Arial Narrow" w:cs="Tahoma"/>
          <w:i/>
          <w:sz w:val="22"/>
          <w:szCs w:val="22"/>
        </w:rPr>
        <w:t>el valor de la Tarifa de Concesión Variable (</w:t>
      </w:r>
      <w:proofErr w:type="spellStart"/>
      <w:r w:rsidRPr="00077FC7">
        <w:rPr>
          <w:rFonts w:ascii="Arial Narrow" w:hAnsi="Arial Narrow" w:cs="Tahoma"/>
          <w:i/>
          <w:sz w:val="22"/>
          <w:szCs w:val="22"/>
        </w:rPr>
        <w:t>TCc</w:t>
      </w:r>
      <w:proofErr w:type="spellEnd"/>
      <w:r w:rsidRPr="00077FC7">
        <w:rPr>
          <w:rFonts w:ascii="Arial Narrow" w:hAnsi="Arial Narrow" w:cs="Tahoma"/>
          <w:i/>
          <w:sz w:val="22"/>
          <w:szCs w:val="22"/>
        </w:rPr>
        <w:t>)</w:t>
      </w:r>
      <w:r w:rsidRPr="00077FC7">
        <w:rPr>
          <w:rFonts w:ascii="Arial Narrow" w:hAnsi="Arial Narrow" w:cs="Arial"/>
          <w:sz w:val="22"/>
          <w:szCs w:val="22"/>
        </w:rPr>
        <w:t xml:space="preserve"> </w:t>
      </w:r>
      <w:r w:rsidRPr="00077FC7">
        <w:rPr>
          <w:rFonts w:ascii="Arial Narrow" w:hAnsi="Arial Narrow" w:cs="Arial"/>
          <w:spacing w:val="-2"/>
          <w:sz w:val="22"/>
          <w:szCs w:val="22"/>
        </w:rPr>
        <w:t>que deben pagar los concesionarios del servicio de televisión por suscripción, para el año de 2020.</w:t>
      </w:r>
    </w:p>
    <w:p w:rsidR="0007766E" w:rsidRPr="00077FC7" w:rsidRDefault="0007766E" w:rsidP="0007766E">
      <w:pPr>
        <w:spacing w:line="264" w:lineRule="auto"/>
        <w:ind w:left="-142"/>
        <w:jc w:val="both"/>
        <w:outlineLvl w:val="0"/>
        <w:rPr>
          <w:rFonts w:ascii="Arial Narrow" w:hAnsi="Arial Narrow" w:cs="Arial"/>
          <w:sz w:val="22"/>
          <w:szCs w:val="22"/>
          <w:lang w:val="es-ES"/>
        </w:rPr>
      </w:pPr>
    </w:p>
    <w:p w:rsidR="0007766E" w:rsidRPr="00077FC7" w:rsidRDefault="0007766E" w:rsidP="0007766E">
      <w:pPr>
        <w:spacing w:line="264" w:lineRule="auto"/>
        <w:ind w:left="-142"/>
        <w:jc w:val="both"/>
        <w:outlineLvl w:val="0"/>
        <w:rPr>
          <w:rFonts w:ascii="Arial Narrow" w:hAnsi="Arial Narrow" w:cs="Arial"/>
          <w:sz w:val="22"/>
          <w:szCs w:val="22"/>
          <w:lang w:val="es-ES"/>
        </w:rPr>
      </w:pPr>
      <w:r w:rsidRPr="00077FC7">
        <w:rPr>
          <w:rFonts w:ascii="Arial Narrow" w:hAnsi="Arial Narrow" w:cs="Arial"/>
          <w:sz w:val="22"/>
          <w:szCs w:val="22"/>
          <w:lang w:val="es-ES"/>
        </w:rPr>
        <w:t>El "Anexo metodológico" que forma parte integral de la Resolución ANTV 048 de 2012</w:t>
      </w:r>
      <w:r w:rsidR="0070060A">
        <w:rPr>
          <w:rFonts w:ascii="Arial Narrow" w:hAnsi="Arial Narrow" w:cs="Arial"/>
          <w:sz w:val="22"/>
          <w:szCs w:val="22"/>
          <w:lang w:val="es-ES"/>
        </w:rPr>
        <w:t xml:space="preserve">, </w:t>
      </w:r>
      <w:r w:rsidRPr="00077FC7">
        <w:rPr>
          <w:rFonts w:ascii="Arial Narrow" w:hAnsi="Arial Narrow" w:cs="Arial"/>
          <w:sz w:val="22"/>
          <w:szCs w:val="22"/>
          <w:lang w:val="es-ES"/>
        </w:rPr>
        <w:t>de las Resoluciones que determinaron el valor y la forma de pago de la prórroga de las concesiones</w:t>
      </w:r>
      <w:r w:rsidR="0070060A">
        <w:rPr>
          <w:rFonts w:ascii="Arial Narrow" w:hAnsi="Arial Narrow" w:cs="Arial"/>
          <w:sz w:val="22"/>
          <w:szCs w:val="22"/>
          <w:lang w:val="es-ES"/>
        </w:rPr>
        <w:t xml:space="preserve"> y de los contratos suscritos con ocasión de la licitación 001 de 2012</w:t>
      </w:r>
      <w:r w:rsidRPr="00077FC7">
        <w:rPr>
          <w:rFonts w:ascii="Arial Narrow" w:hAnsi="Arial Narrow" w:cs="Arial"/>
          <w:sz w:val="22"/>
          <w:szCs w:val="22"/>
          <w:lang w:val="es-ES"/>
        </w:rPr>
        <w:t>, estableció como componente del valor de la concesión la Tarifa de Concesión Variable (</w:t>
      </w:r>
      <w:proofErr w:type="spellStart"/>
      <w:r w:rsidRPr="00077FC7">
        <w:rPr>
          <w:rFonts w:ascii="Arial Narrow" w:hAnsi="Arial Narrow" w:cs="Arial"/>
          <w:sz w:val="22"/>
          <w:szCs w:val="22"/>
          <w:lang w:val="es-ES"/>
        </w:rPr>
        <w:t>TCc</w:t>
      </w:r>
      <w:proofErr w:type="spellEnd"/>
      <w:r w:rsidRPr="00077FC7">
        <w:rPr>
          <w:rFonts w:ascii="Arial Narrow" w:hAnsi="Arial Narrow" w:cs="Arial"/>
          <w:sz w:val="22"/>
          <w:szCs w:val="22"/>
          <w:lang w:val="es-ES"/>
        </w:rPr>
        <w:t>) y adoptó la metodología para su actualización anual.</w:t>
      </w:r>
    </w:p>
    <w:p w:rsidR="0007766E" w:rsidRPr="0070060A" w:rsidRDefault="0007766E" w:rsidP="0007766E">
      <w:pPr>
        <w:spacing w:line="264" w:lineRule="auto"/>
        <w:ind w:left="-142"/>
        <w:jc w:val="both"/>
        <w:outlineLvl w:val="0"/>
        <w:rPr>
          <w:rFonts w:ascii="Arial Narrow" w:hAnsi="Arial Narrow" w:cs="Arial"/>
          <w:spacing w:val="-2"/>
          <w:sz w:val="22"/>
          <w:szCs w:val="22"/>
          <w:lang w:val="es-ES"/>
        </w:rPr>
      </w:pPr>
    </w:p>
    <w:p w:rsidR="0007766E" w:rsidRPr="00077FC7" w:rsidRDefault="0007766E" w:rsidP="0007766E">
      <w:pPr>
        <w:spacing w:line="264" w:lineRule="auto"/>
        <w:ind w:left="-142"/>
        <w:jc w:val="both"/>
        <w:outlineLvl w:val="0"/>
        <w:rPr>
          <w:rFonts w:ascii="Arial Narrow" w:hAnsi="Arial Narrow" w:cs="Tahoma"/>
          <w:sz w:val="22"/>
          <w:szCs w:val="22"/>
        </w:rPr>
      </w:pPr>
      <w:r w:rsidRPr="00077FC7">
        <w:rPr>
          <w:rFonts w:ascii="Arial Narrow" w:hAnsi="Arial Narrow" w:cs="Tahoma"/>
          <w:sz w:val="22"/>
          <w:szCs w:val="22"/>
        </w:rPr>
        <w:t xml:space="preserve">De acuerdo con lo establecido en </w:t>
      </w:r>
      <w:r w:rsidR="0070060A">
        <w:rPr>
          <w:rFonts w:ascii="Arial Narrow" w:hAnsi="Arial Narrow" w:cs="Tahoma"/>
          <w:sz w:val="22"/>
          <w:szCs w:val="22"/>
        </w:rPr>
        <w:t xml:space="preserve">dicho </w:t>
      </w:r>
      <w:r w:rsidRPr="00077FC7">
        <w:rPr>
          <w:rFonts w:ascii="Arial Narrow" w:hAnsi="Arial Narrow" w:cs="Tahoma"/>
          <w:sz w:val="22"/>
          <w:szCs w:val="22"/>
        </w:rPr>
        <w:t xml:space="preserve">anexo metodológico, la fórmula para la actualización del valor de la Tarifa de Concesión Variable </w:t>
      </w:r>
      <m:oMath>
        <m:sSub>
          <m:sSubPr>
            <m:ctrlPr>
              <w:rPr>
                <w:rFonts w:ascii="Cambria Math" w:hAnsi="Cambria Math" w:cs="Tahoma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ahoma"/>
                <w:sz w:val="22"/>
                <w:szCs w:val="22"/>
              </w:rPr>
              <m:t xml:space="preserve">TCc </m:t>
            </m:r>
          </m:e>
          <m:sub>
            <m:r>
              <m:rPr>
                <m:sty m:val="p"/>
              </m:rPr>
              <w:rPr>
                <w:rFonts w:ascii="Cambria Math" w:hAnsi="Cambria Math" w:cs="Tahoma"/>
                <w:sz w:val="22"/>
                <w:szCs w:val="22"/>
              </w:rPr>
              <m:t>j</m:t>
            </m:r>
          </m:sub>
        </m:sSub>
      </m:oMath>
      <w:r w:rsidRPr="00077FC7">
        <w:rPr>
          <w:rFonts w:ascii="Arial Narrow" w:hAnsi="Arial Narrow" w:cs="Tahoma"/>
          <w:sz w:val="22"/>
          <w:szCs w:val="22"/>
        </w:rPr>
        <w:t xml:space="preserve"> para la vigencia 2020, corresponde a:</w:t>
      </w:r>
    </w:p>
    <w:p w:rsidR="0007766E" w:rsidRPr="00077FC7" w:rsidRDefault="0007766E" w:rsidP="0007766E">
      <w:pPr>
        <w:spacing w:line="264" w:lineRule="auto"/>
        <w:ind w:left="-142"/>
        <w:jc w:val="both"/>
        <w:outlineLvl w:val="0"/>
        <w:rPr>
          <w:rFonts w:ascii="Arial Narrow" w:hAnsi="Arial Narrow" w:cs="Tahoma"/>
          <w:sz w:val="22"/>
          <w:szCs w:val="22"/>
        </w:rPr>
      </w:pPr>
    </w:p>
    <w:p w:rsidR="0007766E" w:rsidRPr="00077FC7" w:rsidRDefault="0007766E" w:rsidP="0007766E">
      <w:pPr>
        <w:spacing w:line="264" w:lineRule="auto"/>
        <w:ind w:left="-142"/>
        <w:jc w:val="both"/>
        <w:outlineLvl w:val="0"/>
        <w:rPr>
          <w:rFonts w:ascii="Arial Narrow" w:hAnsi="Arial Narrow" w:cs="Arial"/>
          <w:sz w:val="22"/>
          <w:szCs w:val="22"/>
        </w:rPr>
      </w:pPr>
    </w:p>
    <w:p w:rsidR="0007766E" w:rsidRPr="00077FC7" w:rsidRDefault="0007766E" w:rsidP="0007766E">
      <w:pPr>
        <w:pStyle w:val="Prrafodelista"/>
        <w:spacing w:line="264" w:lineRule="auto"/>
        <w:ind w:left="0"/>
        <w:jc w:val="both"/>
        <w:rPr>
          <w:rFonts w:ascii="Arial Narrow" w:hAnsi="Arial Narrow" w:cs="Tahoma"/>
          <w:sz w:val="22"/>
          <w:szCs w:val="22"/>
        </w:rPr>
      </w:pPr>
    </w:p>
    <w:p w:rsidR="0007766E" w:rsidRPr="00077FC7" w:rsidRDefault="005E5104" w:rsidP="0007766E">
      <w:pPr>
        <w:pStyle w:val="Prrafodelista"/>
        <w:spacing w:line="264" w:lineRule="auto"/>
        <w:ind w:left="0"/>
        <w:jc w:val="center"/>
        <w:rPr>
          <w:rFonts w:ascii="Arial Narrow" w:hAnsi="Arial Narrow" w:cs="Tahoma"/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 w:cs="Tahoma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ahoma"/>
                  <w:sz w:val="22"/>
                  <w:szCs w:val="22"/>
                </w:rPr>
                <m:t>TCc</m:t>
              </m:r>
            </m:e>
            <m:sub>
              <m:r>
                <m:rPr>
                  <m:sty m:val="p"/>
                </m:rPr>
                <w:rPr>
                  <w:rFonts w:ascii="Cambria Math" w:hAnsi="Cambria Math" w:cs="Tahoma"/>
                  <w:sz w:val="22"/>
                  <w:szCs w:val="22"/>
                </w:rPr>
                <m:t>2020</m:t>
              </m:r>
            </m:sub>
          </m:sSub>
          <m:r>
            <m:rPr>
              <m:sty m:val="p"/>
            </m:rPr>
            <w:rPr>
              <w:rFonts w:ascii="Cambria Math" w:hAnsi="Cambria Math" w:cs="Tahoma"/>
              <w:sz w:val="22"/>
              <w:szCs w:val="22"/>
            </w:rPr>
            <m:t>=max</m:t>
          </m:r>
          <m:d>
            <m:dPr>
              <m:begChr m:val="["/>
              <m:endChr m:val="]"/>
              <m:ctrlPr>
                <w:rPr>
                  <w:rFonts w:ascii="Cambria Math" w:hAnsi="Cambria Math" w:cs="Tahoma"/>
                  <w:sz w:val="22"/>
                  <w:szCs w:val="22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ahoma"/>
                  <w:sz w:val="22"/>
                  <w:szCs w:val="22"/>
                </w:rPr>
                <m:t xml:space="preserve">TCV × </m:t>
              </m:r>
              <m:f>
                <m:fPr>
                  <m:ctrlPr>
                    <w:rPr>
                      <w:rFonts w:ascii="Cambria Math" w:hAnsi="Cambria Math" w:cs="Tahoma"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ahoma"/>
                          <w:sz w:val="22"/>
                          <w:szCs w:val="22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ahoma"/>
                          <w:sz w:val="22"/>
                          <w:szCs w:val="22"/>
                        </w:rPr>
                        <m:t>IPC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ahoma"/>
                          <w:sz w:val="22"/>
                          <w:szCs w:val="22"/>
                        </w:rPr>
                        <m:t>2019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ahoma"/>
                          <w:sz w:val="22"/>
                          <w:szCs w:val="22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ahoma"/>
                          <w:sz w:val="22"/>
                          <w:szCs w:val="22"/>
                        </w:rPr>
                        <m:t>IPC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ahoma"/>
                          <w:sz w:val="22"/>
                          <w:szCs w:val="22"/>
                        </w:rPr>
                        <m:t>2011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hAnsi="Cambria Math" w:cs="Tahoma"/>
                  <w:sz w:val="22"/>
                  <w:szCs w:val="22"/>
                </w:rPr>
                <m:t xml:space="preserve"> + </m:t>
              </m:r>
              <m:f>
                <m:fPr>
                  <m:ctrlPr>
                    <w:rPr>
                      <w:rFonts w:ascii="Cambria Math" w:hAnsi="Cambria Math" w:cs="Tahoma"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ahoma"/>
                          <w:sz w:val="22"/>
                          <w:szCs w:val="22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ahoma"/>
                          <w:sz w:val="22"/>
                          <w:szCs w:val="22"/>
                        </w:rPr>
                        <m:t>TCc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ahoma"/>
                          <w:sz w:val="22"/>
                          <w:szCs w:val="22"/>
                        </w:rPr>
                        <m:t>2019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ahoma"/>
                      <w:sz w:val="22"/>
                      <w:szCs w:val="22"/>
                    </w:rPr>
                    <m:t>×</m:t>
                  </m:r>
                  <m:d>
                    <m:dPr>
                      <m:ctrlPr>
                        <w:rPr>
                          <w:rFonts w:ascii="Cambria Math" w:hAnsi="Cambria Math" w:cs="Tahoma"/>
                          <w:sz w:val="22"/>
                          <w:szCs w:val="22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ahoma"/>
                              <w:sz w:val="22"/>
                              <w:szCs w:val="22"/>
                            </w:rPr>
                          </m:ctrlPr>
                        </m:sSubPr>
                        <m:e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 w:cs="Tahoma"/>
                                  <w:sz w:val="22"/>
                                  <w:szCs w:val="22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ahoma"/>
                                  <w:sz w:val="22"/>
                                  <w:szCs w:val="22"/>
                                </w:rPr>
                                <m:t>UM</m:t>
                              </m:r>
                            </m:e>
                          </m:acc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ahoma"/>
                              <w:sz w:val="22"/>
                              <w:szCs w:val="22"/>
                            </w:rPr>
                            <m:t>2019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 w:cs="Tahoma"/>
                          <w:sz w:val="22"/>
                          <w:szCs w:val="22"/>
                        </w:rPr>
                        <m:t xml:space="preserve"> - </m:t>
                      </m:r>
                      <m:sSub>
                        <m:sSubPr>
                          <m:ctrlPr>
                            <w:rPr>
                              <w:rFonts w:ascii="Cambria Math" w:hAnsi="Cambria Math" w:cs="Tahoma"/>
                              <w:sz w:val="22"/>
                              <w:szCs w:val="22"/>
                            </w:rPr>
                          </m:ctrlPr>
                        </m:sSubPr>
                        <m:e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 w:cs="Tahoma"/>
                                  <w:sz w:val="22"/>
                                  <w:szCs w:val="22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ahoma"/>
                                  <w:sz w:val="22"/>
                                  <w:szCs w:val="22"/>
                                </w:rPr>
                                <m:t>UR</m:t>
                              </m:r>
                            </m:e>
                          </m:acc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ahoma"/>
                              <w:sz w:val="22"/>
                              <w:szCs w:val="22"/>
                            </w:rPr>
                            <m:t>2019</m:t>
                          </m:r>
                        </m:sub>
                      </m:sSub>
                    </m:e>
                  </m:d>
                </m:num>
                <m:den>
                  <m:sSub>
                    <m:sSubPr>
                      <m:ctrlPr>
                        <w:rPr>
                          <w:rFonts w:ascii="Cambria Math" w:hAnsi="Cambria Math" w:cs="Tahoma"/>
                          <w:sz w:val="22"/>
                          <w:szCs w:val="22"/>
                        </w:rPr>
                      </m:ctrlPr>
                    </m:sSubPr>
                    <m:e>
                      <m:acc>
                        <m:accPr>
                          <m:chr m:val="̅"/>
                          <m:ctrlPr>
                            <w:rPr>
                              <w:rFonts w:ascii="Cambria Math" w:hAnsi="Cambria Math" w:cs="Tahoma"/>
                              <w:sz w:val="22"/>
                              <w:szCs w:val="22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ahoma"/>
                              <w:sz w:val="22"/>
                              <w:szCs w:val="22"/>
                            </w:rPr>
                            <m:t>UR</m:t>
                          </m:r>
                        </m:e>
                      </m:acc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ahoma"/>
                          <w:sz w:val="22"/>
                          <w:szCs w:val="22"/>
                        </w:rPr>
                        <m:t>2019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hAnsi="Cambria Math" w:cs="Tahoma"/>
                  <w:sz w:val="22"/>
                  <w:szCs w:val="22"/>
                </w:rPr>
                <m:t xml:space="preserve"> , 0</m:t>
              </m:r>
            </m:e>
          </m:d>
        </m:oMath>
      </m:oMathPara>
    </w:p>
    <w:p w:rsidR="0007766E" w:rsidRPr="00077FC7" w:rsidRDefault="0007766E" w:rsidP="0007766E">
      <w:pPr>
        <w:spacing w:line="264" w:lineRule="auto"/>
        <w:outlineLvl w:val="0"/>
        <w:rPr>
          <w:rFonts w:ascii="Arial Narrow" w:hAnsi="Arial Narrow" w:cs="Arial"/>
          <w:sz w:val="22"/>
          <w:szCs w:val="22"/>
        </w:rPr>
      </w:pPr>
    </w:p>
    <w:p w:rsidR="0007766E" w:rsidRPr="00077FC7" w:rsidRDefault="0007766E" w:rsidP="0007766E">
      <w:pPr>
        <w:spacing w:line="264" w:lineRule="auto"/>
        <w:jc w:val="both"/>
        <w:rPr>
          <w:rFonts w:ascii="Arial Narrow" w:hAnsi="Arial Narrow" w:cs="Arial"/>
          <w:color w:val="000000" w:themeColor="text1"/>
          <w:sz w:val="22"/>
          <w:szCs w:val="22"/>
        </w:rPr>
      </w:pPr>
    </w:p>
    <w:p w:rsidR="0007766E" w:rsidRPr="00077FC7" w:rsidRDefault="0007766E" w:rsidP="0007766E">
      <w:pPr>
        <w:spacing w:line="264" w:lineRule="auto"/>
        <w:jc w:val="both"/>
        <w:rPr>
          <w:rFonts w:ascii="Arial Narrow" w:hAnsi="Arial Narrow" w:cs="Arial"/>
          <w:color w:val="000000" w:themeColor="text1"/>
          <w:sz w:val="22"/>
          <w:szCs w:val="22"/>
          <w:lang w:val="es-ES_tradnl"/>
        </w:rPr>
      </w:pPr>
    </w:p>
    <w:p w:rsidR="0007766E" w:rsidRPr="00077FC7" w:rsidRDefault="0007766E" w:rsidP="0007766E">
      <w:pPr>
        <w:spacing w:line="264" w:lineRule="auto"/>
        <w:jc w:val="both"/>
        <w:rPr>
          <w:rFonts w:ascii="Arial Narrow" w:hAnsi="Arial Narrow" w:cs="Arial"/>
          <w:b/>
          <w:color w:val="000000" w:themeColor="text1"/>
          <w:sz w:val="22"/>
          <w:szCs w:val="22"/>
          <w:lang w:val="es-ES_tradnl"/>
        </w:rPr>
      </w:pPr>
      <w:r w:rsidRPr="00077FC7">
        <w:rPr>
          <w:rFonts w:ascii="Arial Narrow" w:hAnsi="Arial Narrow" w:cs="Arial"/>
          <w:b/>
          <w:color w:val="000000" w:themeColor="text1"/>
          <w:sz w:val="22"/>
          <w:szCs w:val="22"/>
          <w:lang w:val="es-ES_tradnl"/>
        </w:rPr>
        <w:t>2.</w:t>
      </w:r>
      <w:r w:rsidRPr="00077FC7">
        <w:rPr>
          <w:rFonts w:ascii="Arial Narrow" w:hAnsi="Arial Narrow" w:cs="Arial"/>
          <w:b/>
          <w:color w:val="000000" w:themeColor="text1"/>
          <w:sz w:val="22"/>
          <w:szCs w:val="22"/>
          <w:lang w:val="es-ES_tradnl"/>
        </w:rPr>
        <w:tab/>
        <w:t>Ámbito de aplicación del acto administrativo</w:t>
      </w:r>
    </w:p>
    <w:p w:rsidR="0007766E" w:rsidRPr="00077FC7" w:rsidRDefault="0007766E" w:rsidP="0007766E">
      <w:pPr>
        <w:spacing w:line="264" w:lineRule="auto"/>
        <w:jc w:val="both"/>
        <w:rPr>
          <w:rFonts w:ascii="Arial Narrow" w:hAnsi="Arial Narrow" w:cs="Arial"/>
          <w:color w:val="000000" w:themeColor="text1"/>
          <w:sz w:val="22"/>
          <w:szCs w:val="22"/>
          <w:lang w:val="es-ES_tradnl"/>
        </w:rPr>
      </w:pPr>
    </w:p>
    <w:p w:rsidR="0007766E" w:rsidRPr="00077FC7" w:rsidRDefault="0007766E" w:rsidP="0007766E">
      <w:pPr>
        <w:spacing w:line="264" w:lineRule="auto"/>
        <w:jc w:val="both"/>
        <w:rPr>
          <w:rFonts w:ascii="Arial Narrow" w:hAnsi="Arial Narrow" w:cs="Arial"/>
          <w:color w:val="000000" w:themeColor="text1"/>
          <w:sz w:val="22"/>
          <w:szCs w:val="22"/>
          <w:lang w:val="es-ES_tradnl"/>
        </w:rPr>
      </w:pPr>
    </w:p>
    <w:p w:rsidR="0007766E" w:rsidRPr="00077FC7" w:rsidRDefault="0007766E" w:rsidP="0007766E">
      <w:pPr>
        <w:spacing w:line="264" w:lineRule="auto"/>
        <w:jc w:val="both"/>
        <w:rPr>
          <w:rFonts w:ascii="Arial Narrow" w:hAnsi="Arial Narrow" w:cs="Arial"/>
          <w:color w:val="000000" w:themeColor="text1"/>
          <w:sz w:val="22"/>
          <w:szCs w:val="22"/>
          <w:lang w:val="es-ES_tradnl"/>
        </w:rPr>
      </w:pPr>
      <w:r w:rsidRPr="00077FC7">
        <w:rPr>
          <w:rFonts w:ascii="Arial Narrow" w:hAnsi="Arial Narrow" w:cs="Arial"/>
          <w:color w:val="000000" w:themeColor="text1"/>
          <w:sz w:val="22"/>
          <w:szCs w:val="22"/>
          <w:lang w:val="es-ES_tradnl"/>
        </w:rPr>
        <w:t>La resolución aplica a los operadores de televisión por suscripción con contrato de concesión vigente</w:t>
      </w:r>
      <w:r w:rsidR="0070060A">
        <w:rPr>
          <w:rFonts w:ascii="Arial Narrow" w:hAnsi="Arial Narrow" w:cs="Arial"/>
          <w:color w:val="000000" w:themeColor="text1"/>
          <w:sz w:val="22"/>
          <w:szCs w:val="22"/>
          <w:lang w:val="es-ES_tradnl"/>
        </w:rPr>
        <w:t xml:space="preserve"> que no hayan suscrito prórroga de su contrato bajo las condiciones de la Resolución 1813 y por tanto continúen pagando concesión de acuerdo con lo establecido en sus contratos.</w:t>
      </w:r>
    </w:p>
    <w:p w:rsidR="0007766E" w:rsidRPr="00077FC7" w:rsidRDefault="0007766E" w:rsidP="0007766E">
      <w:pPr>
        <w:spacing w:line="264" w:lineRule="auto"/>
        <w:jc w:val="both"/>
        <w:rPr>
          <w:rFonts w:ascii="Arial Narrow" w:hAnsi="Arial Narrow" w:cs="Arial"/>
          <w:color w:val="000000" w:themeColor="text1"/>
          <w:sz w:val="22"/>
          <w:szCs w:val="22"/>
          <w:lang w:val="es-ES_tradnl"/>
        </w:rPr>
      </w:pPr>
    </w:p>
    <w:p w:rsidR="0007766E" w:rsidRPr="00077FC7" w:rsidRDefault="0007766E" w:rsidP="0007766E">
      <w:pPr>
        <w:spacing w:line="264" w:lineRule="auto"/>
        <w:jc w:val="both"/>
        <w:rPr>
          <w:rFonts w:ascii="Arial Narrow" w:hAnsi="Arial Narrow" w:cs="Arial"/>
          <w:b/>
          <w:color w:val="000000" w:themeColor="text1"/>
          <w:sz w:val="22"/>
          <w:szCs w:val="22"/>
          <w:lang w:val="es-ES_tradnl"/>
        </w:rPr>
      </w:pPr>
      <w:r w:rsidRPr="00077FC7">
        <w:rPr>
          <w:rFonts w:ascii="Arial Narrow" w:hAnsi="Arial Narrow" w:cs="Arial"/>
          <w:b/>
          <w:color w:val="000000" w:themeColor="text1"/>
          <w:sz w:val="22"/>
          <w:szCs w:val="22"/>
          <w:lang w:val="es-ES_tradnl"/>
        </w:rPr>
        <w:t>3.</w:t>
      </w:r>
      <w:r w:rsidRPr="00077FC7">
        <w:rPr>
          <w:rFonts w:ascii="Arial Narrow" w:hAnsi="Arial Narrow" w:cs="Arial"/>
          <w:b/>
          <w:color w:val="000000" w:themeColor="text1"/>
          <w:sz w:val="22"/>
          <w:szCs w:val="22"/>
          <w:lang w:val="es-ES_tradnl"/>
        </w:rPr>
        <w:tab/>
        <w:t xml:space="preserve">Estudio preliminar de viabilidad jurídica de la expedición de la norma </w:t>
      </w:r>
    </w:p>
    <w:p w:rsidR="0007766E" w:rsidRPr="00077FC7" w:rsidRDefault="0007766E" w:rsidP="0007766E">
      <w:pPr>
        <w:spacing w:line="264" w:lineRule="auto"/>
        <w:ind w:left="-142"/>
        <w:jc w:val="both"/>
        <w:outlineLvl w:val="0"/>
        <w:rPr>
          <w:rFonts w:ascii="Arial Narrow" w:hAnsi="Arial Narrow" w:cs="Arial"/>
          <w:b/>
          <w:sz w:val="22"/>
          <w:szCs w:val="22"/>
          <w:u w:val="single"/>
          <w:lang w:val="es-ES"/>
        </w:rPr>
      </w:pPr>
    </w:p>
    <w:p w:rsidR="0007766E" w:rsidRPr="00077FC7" w:rsidRDefault="0007766E" w:rsidP="0007766E">
      <w:pPr>
        <w:spacing w:line="264" w:lineRule="auto"/>
        <w:jc w:val="both"/>
        <w:rPr>
          <w:rFonts w:ascii="Arial Narrow" w:hAnsi="Arial Narrow" w:cs="Arial"/>
          <w:color w:val="000000" w:themeColor="text1"/>
          <w:sz w:val="22"/>
          <w:szCs w:val="22"/>
          <w:lang w:val="es-ES_tradnl"/>
        </w:rPr>
      </w:pPr>
    </w:p>
    <w:p w:rsidR="0007766E" w:rsidRPr="00077FC7" w:rsidRDefault="0007766E" w:rsidP="0007766E">
      <w:pPr>
        <w:spacing w:line="264" w:lineRule="auto"/>
        <w:ind w:left="-142"/>
        <w:jc w:val="both"/>
        <w:outlineLvl w:val="0"/>
        <w:rPr>
          <w:rFonts w:ascii="Arial Narrow" w:hAnsi="Arial Narrow" w:cs="Arial"/>
          <w:sz w:val="22"/>
          <w:szCs w:val="22"/>
        </w:rPr>
      </w:pPr>
      <w:r w:rsidRPr="00077FC7">
        <w:rPr>
          <w:rFonts w:ascii="Arial Narrow" w:hAnsi="Arial Narrow" w:cs="Arial"/>
          <w:sz w:val="22"/>
          <w:szCs w:val="22"/>
          <w:lang w:val="es-ES"/>
        </w:rPr>
        <w:t xml:space="preserve">Los artículos 39 y 43 de La Ley 1978 del 25 de julio de 2019, dispusieron la supresión y liquidación de la Autoridad Nacional de Televisión, así como la sustitución de la posición contractual, judicial y administrativa por parte del Ministerio de Tecnologías de la Información y las Comunicaciones. Adicionalmente, la citada Ley en su </w:t>
      </w:r>
      <w:r w:rsidRPr="00077FC7">
        <w:rPr>
          <w:rFonts w:ascii="Arial Narrow" w:hAnsi="Arial Narrow" w:cs="Arial"/>
          <w:sz w:val="22"/>
          <w:szCs w:val="22"/>
        </w:rPr>
        <w:t>artículo 14, modificó el artículo 18 de la Ley 1341 de 2009 estableciendo que es función del Ministerio de Tecnologías de la Información y las Comunicaciones “Fijar las tarifas, tasas y derechos, asociados a la concesión, a que se refiere la Ley 182 de 1995”</w:t>
      </w:r>
    </w:p>
    <w:p w:rsidR="0007766E" w:rsidRPr="00077FC7" w:rsidRDefault="0007766E" w:rsidP="0007766E">
      <w:pPr>
        <w:spacing w:line="264" w:lineRule="auto"/>
        <w:ind w:left="-142"/>
        <w:jc w:val="both"/>
        <w:outlineLvl w:val="0"/>
        <w:rPr>
          <w:rFonts w:ascii="Arial Narrow" w:hAnsi="Arial Narrow" w:cs="Arial"/>
          <w:sz w:val="22"/>
          <w:szCs w:val="22"/>
          <w:lang w:val="es-ES"/>
        </w:rPr>
      </w:pPr>
    </w:p>
    <w:p w:rsidR="0007766E" w:rsidRPr="00077FC7" w:rsidRDefault="0007766E" w:rsidP="0007766E">
      <w:pPr>
        <w:spacing w:line="264" w:lineRule="auto"/>
        <w:ind w:left="-142"/>
        <w:jc w:val="both"/>
        <w:outlineLvl w:val="0"/>
        <w:rPr>
          <w:rFonts w:ascii="Arial Narrow" w:hAnsi="Arial Narrow" w:cs="Arial"/>
          <w:sz w:val="22"/>
          <w:szCs w:val="22"/>
          <w:lang w:val="es-ES"/>
        </w:rPr>
      </w:pPr>
      <w:r w:rsidRPr="00077FC7">
        <w:rPr>
          <w:rFonts w:ascii="Arial Narrow" w:hAnsi="Arial Narrow" w:cs="Arial"/>
          <w:sz w:val="22"/>
          <w:szCs w:val="22"/>
          <w:lang w:val="es-ES"/>
        </w:rPr>
        <w:t>La tarifa de Concesión Variable establecida en la Resolución 048 de 2012</w:t>
      </w:r>
      <w:r w:rsidR="0070060A">
        <w:rPr>
          <w:rFonts w:ascii="Arial Narrow" w:hAnsi="Arial Narrow" w:cs="Arial"/>
          <w:sz w:val="22"/>
          <w:szCs w:val="22"/>
          <w:lang w:val="es-ES"/>
        </w:rPr>
        <w:t xml:space="preserve">, </w:t>
      </w:r>
      <w:r w:rsidRPr="00077FC7">
        <w:rPr>
          <w:rFonts w:ascii="Arial Narrow" w:hAnsi="Arial Narrow" w:cs="Arial"/>
          <w:sz w:val="22"/>
          <w:szCs w:val="22"/>
          <w:lang w:val="es-ES"/>
        </w:rPr>
        <w:t xml:space="preserve">la Resolución anexa a los contratos de </w:t>
      </w:r>
      <w:proofErr w:type="gramStart"/>
      <w:r w:rsidRPr="00077FC7">
        <w:rPr>
          <w:rFonts w:ascii="Arial Narrow" w:hAnsi="Arial Narrow" w:cs="Arial"/>
          <w:sz w:val="22"/>
          <w:szCs w:val="22"/>
          <w:lang w:val="es-ES"/>
        </w:rPr>
        <w:t xml:space="preserve">concesión </w:t>
      </w:r>
      <w:r w:rsidR="0070060A">
        <w:rPr>
          <w:rFonts w:ascii="Arial Narrow" w:hAnsi="Arial Narrow" w:cs="Arial"/>
          <w:sz w:val="22"/>
          <w:szCs w:val="22"/>
          <w:lang w:val="es-ES"/>
        </w:rPr>
        <w:t xml:space="preserve"> o</w:t>
      </w:r>
      <w:proofErr w:type="gramEnd"/>
      <w:r w:rsidR="0070060A">
        <w:rPr>
          <w:rFonts w:ascii="Arial Narrow" w:hAnsi="Arial Narrow" w:cs="Arial"/>
          <w:sz w:val="22"/>
          <w:szCs w:val="22"/>
          <w:lang w:val="es-ES"/>
        </w:rPr>
        <w:t xml:space="preserve"> el anexo metodológico, según sea el caso, </w:t>
      </w:r>
      <w:r w:rsidRPr="00077FC7">
        <w:rPr>
          <w:rFonts w:ascii="Arial Narrow" w:hAnsi="Arial Narrow" w:cs="Arial"/>
          <w:sz w:val="22"/>
          <w:szCs w:val="22"/>
          <w:lang w:val="es-ES"/>
        </w:rPr>
        <w:t xml:space="preserve">debe ser actualizadas en cada vigencia de acuerdo con la </w:t>
      </w:r>
      <w:r w:rsidR="0070060A">
        <w:rPr>
          <w:rFonts w:ascii="Arial Narrow" w:hAnsi="Arial Narrow" w:cs="Arial"/>
          <w:sz w:val="22"/>
          <w:szCs w:val="22"/>
          <w:lang w:val="es-ES"/>
        </w:rPr>
        <w:t>metodología en ellos establecida</w:t>
      </w:r>
      <w:r w:rsidRPr="00077FC7">
        <w:rPr>
          <w:rFonts w:ascii="Arial Narrow" w:hAnsi="Arial Narrow" w:cs="Arial"/>
          <w:sz w:val="22"/>
          <w:szCs w:val="22"/>
          <w:lang w:val="es-ES"/>
        </w:rPr>
        <w:t>.</w:t>
      </w:r>
    </w:p>
    <w:p w:rsidR="0007766E" w:rsidRPr="00077FC7" w:rsidRDefault="0007766E" w:rsidP="0007766E">
      <w:pPr>
        <w:spacing w:line="264" w:lineRule="auto"/>
        <w:ind w:left="-142"/>
        <w:jc w:val="both"/>
        <w:outlineLvl w:val="0"/>
        <w:rPr>
          <w:rFonts w:ascii="Arial Narrow" w:hAnsi="Arial Narrow" w:cs="Arial"/>
          <w:sz w:val="22"/>
          <w:szCs w:val="22"/>
          <w:lang w:val="es-ES"/>
        </w:rPr>
      </w:pPr>
    </w:p>
    <w:p w:rsidR="0007766E" w:rsidRPr="00077FC7" w:rsidRDefault="0007766E" w:rsidP="0007766E">
      <w:pPr>
        <w:spacing w:line="264" w:lineRule="auto"/>
        <w:ind w:left="-142"/>
        <w:jc w:val="both"/>
        <w:outlineLvl w:val="0"/>
        <w:rPr>
          <w:rFonts w:ascii="Arial Narrow" w:hAnsi="Arial Narrow" w:cs="Arial"/>
          <w:sz w:val="22"/>
          <w:szCs w:val="22"/>
          <w:lang w:val="es-ES"/>
        </w:rPr>
      </w:pPr>
      <w:r w:rsidRPr="00077FC7">
        <w:rPr>
          <w:rFonts w:ascii="Arial Narrow" w:hAnsi="Arial Narrow" w:cs="Arial"/>
          <w:sz w:val="22"/>
          <w:szCs w:val="22"/>
          <w:lang w:val="es-ES"/>
        </w:rPr>
        <w:t xml:space="preserve">En consecuencia, atendiendo a las competencias asignadas al </w:t>
      </w:r>
      <w:proofErr w:type="spellStart"/>
      <w:r w:rsidRPr="00077FC7">
        <w:rPr>
          <w:rFonts w:ascii="Arial Narrow" w:hAnsi="Arial Narrow" w:cs="Arial"/>
          <w:sz w:val="22"/>
          <w:szCs w:val="22"/>
          <w:lang w:val="es-ES"/>
        </w:rPr>
        <w:t>Mintic</w:t>
      </w:r>
      <w:proofErr w:type="spellEnd"/>
      <w:r w:rsidRPr="00077FC7">
        <w:rPr>
          <w:rFonts w:ascii="Arial Narrow" w:hAnsi="Arial Narrow" w:cs="Arial"/>
          <w:sz w:val="22"/>
          <w:szCs w:val="22"/>
          <w:lang w:val="es-ES"/>
        </w:rPr>
        <w:t xml:space="preserve"> por la Ley 1978 de 2019 y </w:t>
      </w:r>
      <w:r w:rsidR="0070060A">
        <w:rPr>
          <w:rFonts w:ascii="Arial Narrow" w:hAnsi="Arial Narrow" w:cs="Arial"/>
          <w:sz w:val="22"/>
          <w:szCs w:val="22"/>
          <w:lang w:val="es-ES"/>
        </w:rPr>
        <w:t>de conformidad con</w:t>
      </w:r>
      <w:r w:rsidRPr="00077FC7">
        <w:rPr>
          <w:rFonts w:ascii="Arial Narrow" w:hAnsi="Arial Narrow" w:cs="Arial"/>
          <w:sz w:val="22"/>
          <w:szCs w:val="22"/>
          <w:lang w:val="es-ES"/>
        </w:rPr>
        <w:t xml:space="preserve"> las metodologías de actualización previstas en los</w:t>
      </w:r>
      <w:r w:rsidR="0070060A">
        <w:rPr>
          <w:rFonts w:ascii="Arial Narrow" w:hAnsi="Arial Narrow" w:cs="Arial"/>
          <w:sz w:val="22"/>
          <w:szCs w:val="22"/>
          <w:lang w:val="es-ES"/>
        </w:rPr>
        <w:t xml:space="preserve"> contratos y los</w:t>
      </w:r>
      <w:r w:rsidRPr="00077FC7">
        <w:rPr>
          <w:rFonts w:ascii="Arial Narrow" w:hAnsi="Arial Narrow" w:cs="Arial"/>
          <w:sz w:val="22"/>
          <w:szCs w:val="22"/>
          <w:lang w:val="es-ES"/>
        </w:rPr>
        <w:t xml:space="preserve"> actos administrativos constitutivos y regulatorios de las </w:t>
      </w:r>
      <w:proofErr w:type="gramStart"/>
      <w:r w:rsidRPr="00077FC7">
        <w:rPr>
          <w:rFonts w:ascii="Arial Narrow" w:hAnsi="Arial Narrow" w:cs="Arial"/>
          <w:sz w:val="22"/>
          <w:szCs w:val="22"/>
          <w:lang w:val="es-ES"/>
        </w:rPr>
        <w:t>tarifas,  es</w:t>
      </w:r>
      <w:proofErr w:type="gramEnd"/>
      <w:r w:rsidRPr="00077FC7">
        <w:rPr>
          <w:rFonts w:ascii="Arial Narrow" w:hAnsi="Arial Narrow" w:cs="Arial"/>
          <w:sz w:val="22"/>
          <w:szCs w:val="22"/>
          <w:lang w:val="es-ES"/>
        </w:rPr>
        <w:t xml:space="preserve"> procedente y pertinente la expedición de</w:t>
      </w:r>
      <w:r w:rsidR="0070060A">
        <w:rPr>
          <w:rFonts w:ascii="Arial Narrow" w:hAnsi="Arial Narrow" w:cs="Arial"/>
          <w:sz w:val="22"/>
          <w:szCs w:val="22"/>
          <w:lang w:val="es-ES"/>
        </w:rPr>
        <w:t xml:space="preserve">l </w:t>
      </w:r>
      <w:r w:rsidRPr="00077FC7">
        <w:rPr>
          <w:rFonts w:ascii="Arial Narrow" w:hAnsi="Arial Narrow" w:cs="Arial"/>
          <w:sz w:val="22"/>
          <w:szCs w:val="22"/>
          <w:lang w:val="es-ES"/>
        </w:rPr>
        <w:t xml:space="preserve">acto administrativo proyectado. </w:t>
      </w:r>
    </w:p>
    <w:p w:rsidR="0007766E" w:rsidRPr="00077FC7" w:rsidRDefault="0007766E" w:rsidP="0007766E">
      <w:pPr>
        <w:spacing w:line="264" w:lineRule="auto"/>
        <w:jc w:val="both"/>
        <w:outlineLvl w:val="0"/>
        <w:rPr>
          <w:rFonts w:ascii="Arial Narrow" w:hAnsi="Arial Narrow" w:cs="Arial"/>
          <w:sz w:val="22"/>
          <w:szCs w:val="22"/>
          <w:lang w:val="es-ES"/>
        </w:rPr>
      </w:pPr>
    </w:p>
    <w:p w:rsidR="0007766E" w:rsidRPr="00077FC7" w:rsidRDefault="0007766E" w:rsidP="0007766E">
      <w:pPr>
        <w:spacing w:line="264" w:lineRule="auto"/>
        <w:contextualSpacing/>
        <w:jc w:val="both"/>
        <w:rPr>
          <w:rFonts w:ascii="Arial Narrow" w:hAnsi="Arial Narrow" w:cs="Arial"/>
          <w:color w:val="000000" w:themeColor="text1"/>
          <w:sz w:val="22"/>
          <w:szCs w:val="22"/>
        </w:rPr>
      </w:pPr>
    </w:p>
    <w:p w:rsidR="0007766E" w:rsidRPr="00077FC7" w:rsidRDefault="0007766E" w:rsidP="0007766E">
      <w:pPr>
        <w:spacing w:line="264" w:lineRule="auto"/>
        <w:jc w:val="both"/>
        <w:rPr>
          <w:rFonts w:ascii="Arial Narrow" w:hAnsi="Arial Narrow" w:cs="Arial"/>
          <w:b/>
          <w:color w:val="000000" w:themeColor="text1"/>
          <w:sz w:val="22"/>
          <w:szCs w:val="22"/>
        </w:rPr>
      </w:pPr>
      <w:r w:rsidRPr="00077FC7">
        <w:rPr>
          <w:rFonts w:ascii="Arial Narrow" w:hAnsi="Arial Narrow" w:cs="Arial"/>
          <w:b/>
          <w:color w:val="000000" w:themeColor="text1"/>
          <w:sz w:val="22"/>
          <w:szCs w:val="22"/>
          <w:lang w:eastAsia="en-US"/>
        </w:rPr>
        <w:t>3.1.</w:t>
      </w:r>
      <w:r w:rsidRPr="00077FC7">
        <w:rPr>
          <w:rFonts w:ascii="Arial Narrow" w:hAnsi="Arial Narrow" w:cs="Arial"/>
          <w:b/>
          <w:color w:val="000000" w:themeColor="text1"/>
          <w:sz w:val="22"/>
          <w:szCs w:val="22"/>
          <w:lang w:eastAsia="en-US"/>
        </w:rPr>
        <w:tab/>
        <w:t xml:space="preserve">Vigencia de la ley o norma reglamentada o desarrollada con el </w:t>
      </w:r>
      <w:r w:rsidRPr="00077FC7">
        <w:rPr>
          <w:rFonts w:ascii="Arial Narrow" w:hAnsi="Arial Narrow" w:cs="Arial"/>
          <w:b/>
          <w:color w:val="000000" w:themeColor="text1"/>
          <w:sz w:val="22"/>
          <w:szCs w:val="22"/>
          <w:lang w:val="es-ES_tradnl"/>
        </w:rPr>
        <w:t>acto administrativo</w:t>
      </w:r>
    </w:p>
    <w:p w:rsidR="0007766E" w:rsidRPr="00077FC7" w:rsidRDefault="0007766E" w:rsidP="0007766E">
      <w:pPr>
        <w:spacing w:line="264" w:lineRule="auto"/>
        <w:jc w:val="both"/>
        <w:rPr>
          <w:rFonts w:ascii="Arial Narrow" w:hAnsi="Arial Narrow" w:cs="Arial"/>
          <w:b/>
          <w:color w:val="000000" w:themeColor="text1"/>
          <w:sz w:val="22"/>
          <w:szCs w:val="22"/>
        </w:rPr>
      </w:pPr>
    </w:p>
    <w:p w:rsidR="0007766E" w:rsidRPr="00077FC7" w:rsidRDefault="0070060A" w:rsidP="0007766E">
      <w:pPr>
        <w:spacing w:line="264" w:lineRule="auto"/>
        <w:ind w:left="-142"/>
        <w:jc w:val="both"/>
        <w:outlineLvl w:val="0"/>
        <w:rPr>
          <w:rFonts w:ascii="Arial Narrow" w:hAnsi="Arial Narrow" w:cs="Arial"/>
          <w:sz w:val="22"/>
          <w:szCs w:val="22"/>
          <w:lang w:val="es-ES"/>
        </w:rPr>
      </w:pPr>
      <w:r>
        <w:rPr>
          <w:rFonts w:ascii="Arial Narrow" w:hAnsi="Arial Narrow" w:cs="Arial"/>
          <w:sz w:val="22"/>
          <w:szCs w:val="22"/>
          <w:lang w:val="es-ES"/>
        </w:rPr>
        <w:t>L</w:t>
      </w:r>
      <w:r w:rsidR="0007766E" w:rsidRPr="00077FC7">
        <w:rPr>
          <w:rFonts w:ascii="Arial Narrow" w:hAnsi="Arial Narrow" w:cs="Arial"/>
          <w:sz w:val="22"/>
          <w:szCs w:val="22"/>
          <w:lang w:val="es-ES"/>
        </w:rPr>
        <w:t>a Resolución ANTV 048 de 2012 y las Resoluciones anexas a los contratos de concesión vigentes, son actos administrativos vigentes constitutivos de las tarifas que se proyecta actualizar en aplicación de la metodología en ellos prevista</w:t>
      </w:r>
      <w:r w:rsidR="0026060D">
        <w:rPr>
          <w:rFonts w:ascii="Arial Narrow" w:hAnsi="Arial Narrow" w:cs="Arial"/>
          <w:sz w:val="22"/>
          <w:szCs w:val="22"/>
          <w:lang w:val="es-ES"/>
        </w:rPr>
        <w:t xml:space="preserve"> y para el caso de los contratos suscritos en virtud de la licitación 001 de 2012, la tarifa de concesión variable se encuentra definida en el anexo metodológico. </w:t>
      </w:r>
    </w:p>
    <w:p w:rsidR="0007766E" w:rsidRPr="00077FC7" w:rsidRDefault="0007766E" w:rsidP="0007766E">
      <w:pPr>
        <w:spacing w:line="264" w:lineRule="auto"/>
        <w:jc w:val="both"/>
        <w:rPr>
          <w:rFonts w:ascii="Arial Narrow" w:hAnsi="Arial Narrow" w:cs="Arial"/>
          <w:b/>
          <w:color w:val="000000" w:themeColor="text1"/>
          <w:sz w:val="22"/>
          <w:szCs w:val="22"/>
        </w:rPr>
      </w:pPr>
    </w:p>
    <w:p w:rsidR="0007766E" w:rsidRPr="00077FC7" w:rsidRDefault="0007766E" w:rsidP="0007766E">
      <w:pPr>
        <w:spacing w:line="264" w:lineRule="auto"/>
        <w:ind w:left="705" w:hanging="705"/>
        <w:jc w:val="both"/>
        <w:rPr>
          <w:rFonts w:ascii="Arial Narrow" w:hAnsi="Arial Narrow" w:cs="Arial"/>
          <w:b/>
          <w:color w:val="000000" w:themeColor="text1"/>
          <w:sz w:val="22"/>
          <w:szCs w:val="22"/>
        </w:rPr>
      </w:pPr>
      <w:r w:rsidRPr="00077FC7">
        <w:rPr>
          <w:rFonts w:ascii="Arial Narrow" w:hAnsi="Arial Narrow" w:cs="Arial"/>
          <w:b/>
          <w:color w:val="000000" w:themeColor="text1"/>
          <w:sz w:val="22"/>
          <w:szCs w:val="22"/>
          <w:lang w:eastAsia="en-US"/>
        </w:rPr>
        <w:t>3.2.</w:t>
      </w:r>
      <w:r w:rsidRPr="00077FC7">
        <w:rPr>
          <w:rFonts w:ascii="Arial Narrow" w:hAnsi="Arial Narrow" w:cs="Arial"/>
          <w:b/>
          <w:color w:val="000000" w:themeColor="text1"/>
          <w:sz w:val="22"/>
          <w:szCs w:val="22"/>
          <w:lang w:eastAsia="en-US"/>
        </w:rPr>
        <w:tab/>
        <w:t xml:space="preserve">Disposiciones que se derogan, subrogan, modifican, adicionan o desarrollan con el </w:t>
      </w:r>
      <w:r w:rsidRPr="00077FC7">
        <w:rPr>
          <w:rFonts w:ascii="Arial Narrow" w:hAnsi="Arial Narrow" w:cs="Arial"/>
          <w:b/>
          <w:color w:val="000000" w:themeColor="text1"/>
          <w:sz w:val="22"/>
          <w:szCs w:val="22"/>
          <w:lang w:val="es-ES_tradnl"/>
        </w:rPr>
        <w:t>acto administrativo</w:t>
      </w:r>
    </w:p>
    <w:p w:rsidR="0007766E" w:rsidRPr="00077FC7" w:rsidRDefault="0007766E" w:rsidP="0007766E">
      <w:pPr>
        <w:spacing w:line="264" w:lineRule="auto"/>
        <w:jc w:val="both"/>
        <w:rPr>
          <w:rFonts w:ascii="Arial Narrow" w:hAnsi="Arial Narrow" w:cs="Arial"/>
          <w:color w:val="000000" w:themeColor="text1"/>
          <w:sz w:val="22"/>
          <w:szCs w:val="22"/>
        </w:rPr>
      </w:pPr>
    </w:p>
    <w:p w:rsidR="0007766E" w:rsidRPr="00077FC7" w:rsidRDefault="0007766E" w:rsidP="0007766E">
      <w:pPr>
        <w:spacing w:line="264" w:lineRule="auto"/>
        <w:jc w:val="both"/>
        <w:rPr>
          <w:rFonts w:ascii="Arial Narrow" w:hAnsi="Arial Narrow" w:cs="Arial"/>
          <w:sz w:val="22"/>
          <w:szCs w:val="22"/>
          <w:lang w:val="es-ES"/>
        </w:rPr>
      </w:pPr>
      <w:r w:rsidRPr="00077FC7">
        <w:rPr>
          <w:rFonts w:ascii="Arial Narrow" w:hAnsi="Arial Narrow" w:cs="Arial"/>
          <w:sz w:val="22"/>
          <w:szCs w:val="22"/>
        </w:rPr>
        <w:t xml:space="preserve">La Resolución ANTV 069 de 2019 de la ANTV, actualizó para la vigencia 2019 </w:t>
      </w:r>
      <w:r w:rsidRPr="00077FC7">
        <w:rPr>
          <w:rFonts w:ascii="Arial Narrow" w:hAnsi="Arial Narrow" w:cs="Tahoma"/>
          <w:sz w:val="22"/>
          <w:szCs w:val="22"/>
        </w:rPr>
        <w:t>la Tarifa de Concesión Variable (</w:t>
      </w:r>
      <w:proofErr w:type="spellStart"/>
      <w:r w:rsidRPr="00077FC7">
        <w:rPr>
          <w:rFonts w:ascii="Arial Narrow" w:hAnsi="Arial Narrow" w:cs="Tahoma"/>
          <w:sz w:val="22"/>
          <w:szCs w:val="22"/>
        </w:rPr>
        <w:t>TCc</w:t>
      </w:r>
      <w:proofErr w:type="spellEnd"/>
      <w:r w:rsidRPr="00077FC7">
        <w:rPr>
          <w:rFonts w:ascii="Arial Narrow" w:hAnsi="Arial Narrow" w:cs="Tahoma"/>
          <w:sz w:val="22"/>
          <w:szCs w:val="22"/>
        </w:rPr>
        <w:t xml:space="preserve">) establecida en la Resolución ANTV 048 de 2012 o </w:t>
      </w:r>
      <w:r w:rsidR="0026060D">
        <w:rPr>
          <w:rFonts w:ascii="Arial Narrow" w:hAnsi="Arial Narrow" w:cs="Tahoma"/>
          <w:sz w:val="22"/>
          <w:szCs w:val="22"/>
        </w:rPr>
        <w:t xml:space="preserve">Anexo metodológico o </w:t>
      </w:r>
      <w:r w:rsidRPr="00077FC7">
        <w:rPr>
          <w:rFonts w:ascii="Arial Narrow" w:hAnsi="Arial Narrow" w:cs="Tahoma"/>
          <w:sz w:val="22"/>
          <w:szCs w:val="22"/>
        </w:rPr>
        <w:t>Resolución anexa a los contratos</w:t>
      </w:r>
      <w:r w:rsidR="0026060D">
        <w:rPr>
          <w:rFonts w:ascii="Arial Narrow" w:hAnsi="Arial Narrow" w:cs="Arial"/>
          <w:sz w:val="22"/>
          <w:szCs w:val="22"/>
          <w:lang w:val="es-ES"/>
        </w:rPr>
        <w:t xml:space="preserve">, con este acto </w:t>
      </w:r>
      <w:proofErr w:type="spellStart"/>
      <w:r w:rsidR="0026060D">
        <w:rPr>
          <w:rFonts w:ascii="Arial Narrow" w:hAnsi="Arial Narrow" w:cs="Arial"/>
          <w:sz w:val="22"/>
          <w:szCs w:val="22"/>
          <w:lang w:val="es-ES"/>
        </w:rPr>
        <w:t>adminsitrativo</w:t>
      </w:r>
      <w:proofErr w:type="spellEnd"/>
      <w:r w:rsidR="0026060D">
        <w:rPr>
          <w:rFonts w:ascii="Arial Narrow" w:hAnsi="Arial Narrow" w:cs="Arial"/>
          <w:sz w:val="22"/>
          <w:szCs w:val="22"/>
          <w:lang w:val="es-ES"/>
        </w:rPr>
        <w:t xml:space="preserve"> se cumple con la obligación de actualizar la tarifa para la vigencia 2020</w:t>
      </w:r>
      <w:r w:rsidRPr="00077FC7">
        <w:rPr>
          <w:rFonts w:ascii="Arial Narrow" w:hAnsi="Arial Narrow" w:cs="Arial"/>
          <w:sz w:val="22"/>
          <w:szCs w:val="22"/>
          <w:lang w:val="es-ES"/>
        </w:rPr>
        <w:t xml:space="preserve">. </w:t>
      </w:r>
    </w:p>
    <w:p w:rsidR="0007766E" w:rsidRPr="00077FC7" w:rsidRDefault="0007766E" w:rsidP="0007766E">
      <w:pPr>
        <w:spacing w:line="264" w:lineRule="auto"/>
        <w:jc w:val="both"/>
        <w:rPr>
          <w:rFonts w:ascii="Arial Narrow" w:hAnsi="Arial Narrow" w:cs="Arial"/>
          <w:color w:val="000000" w:themeColor="text1"/>
          <w:sz w:val="22"/>
          <w:szCs w:val="22"/>
        </w:rPr>
      </w:pPr>
    </w:p>
    <w:p w:rsidR="0007766E" w:rsidRPr="00077FC7" w:rsidRDefault="0007766E" w:rsidP="0007766E">
      <w:pPr>
        <w:spacing w:line="264" w:lineRule="auto"/>
        <w:jc w:val="both"/>
        <w:rPr>
          <w:rFonts w:ascii="Arial Narrow" w:hAnsi="Arial Narrow" w:cs="Arial"/>
          <w:color w:val="000000" w:themeColor="text1"/>
          <w:sz w:val="22"/>
          <w:szCs w:val="22"/>
        </w:rPr>
      </w:pPr>
    </w:p>
    <w:p w:rsidR="0007766E" w:rsidRPr="00077FC7" w:rsidRDefault="0007766E" w:rsidP="0007766E">
      <w:pPr>
        <w:spacing w:line="264" w:lineRule="auto"/>
        <w:ind w:left="705" w:hanging="705"/>
        <w:jc w:val="both"/>
        <w:rPr>
          <w:rFonts w:ascii="Arial Narrow" w:hAnsi="Arial Narrow" w:cs="Arial"/>
          <w:b/>
          <w:color w:val="000000" w:themeColor="text1"/>
          <w:sz w:val="22"/>
          <w:szCs w:val="22"/>
        </w:rPr>
      </w:pPr>
      <w:r w:rsidRPr="00077FC7">
        <w:rPr>
          <w:rFonts w:ascii="Arial Narrow" w:hAnsi="Arial Narrow" w:cs="Arial"/>
          <w:b/>
          <w:color w:val="000000" w:themeColor="text1"/>
          <w:sz w:val="22"/>
          <w:szCs w:val="22"/>
        </w:rPr>
        <w:t>3.3.</w:t>
      </w:r>
      <w:r w:rsidRPr="00077FC7">
        <w:rPr>
          <w:rFonts w:ascii="Arial Narrow" w:hAnsi="Arial Narrow" w:cs="Arial"/>
          <w:color w:val="000000" w:themeColor="text1"/>
          <w:sz w:val="22"/>
          <w:szCs w:val="22"/>
        </w:rPr>
        <w:tab/>
      </w:r>
      <w:r w:rsidRPr="00077FC7">
        <w:rPr>
          <w:rFonts w:ascii="Arial Narrow" w:hAnsi="Arial Narrow" w:cs="Arial"/>
          <w:b/>
          <w:color w:val="000000" w:themeColor="text1"/>
          <w:sz w:val="22"/>
          <w:szCs w:val="22"/>
        </w:rPr>
        <w:t>Revisión y análisis de las decisiones judiciales de los órganos de cierre de cada jurisdicción que pueden tener impacto o ser relevantes para la expedición del acto</w:t>
      </w:r>
    </w:p>
    <w:p w:rsidR="0007766E" w:rsidRPr="00077FC7" w:rsidRDefault="0007766E" w:rsidP="0007766E">
      <w:pPr>
        <w:spacing w:line="264" w:lineRule="auto"/>
        <w:ind w:left="705" w:hanging="705"/>
        <w:jc w:val="both"/>
        <w:rPr>
          <w:rFonts w:ascii="Arial Narrow" w:hAnsi="Arial Narrow" w:cs="Arial"/>
          <w:b/>
          <w:color w:val="000000" w:themeColor="text1"/>
          <w:sz w:val="22"/>
          <w:szCs w:val="22"/>
        </w:rPr>
      </w:pPr>
    </w:p>
    <w:p w:rsidR="0007766E" w:rsidRPr="00077FC7" w:rsidRDefault="0007766E" w:rsidP="0007766E">
      <w:pPr>
        <w:shd w:val="clear" w:color="auto" w:fill="FFFFFF"/>
        <w:spacing w:line="264" w:lineRule="auto"/>
        <w:jc w:val="both"/>
        <w:rPr>
          <w:rFonts w:ascii="Arial Narrow" w:eastAsia="Times New Roman" w:hAnsi="Arial Narrow" w:cs="Calibri"/>
          <w:color w:val="000000"/>
          <w:sz w:val="22"/>
          <w:szCs w:val="22"/>
          <w:bdr w:val="none" w:sz="0" w:space="0" w:color="auto" w:frame="1"/>
          <w:lang w:val="es-ES" w:eastAsia="es-ES"/>
        </w:rPr>
      </w:pPr>
      <w:r w:rsidRPr="00077FC7">
        <w:rPr>
          <w:rFonts w:ascii="Arial Narrow" w:eastAsia="Times New Roman" w:hAnsi="Arial Narrow" w:cs="Calibri"/>
          <w:color w:val="000000"/>
          <w:sz w:val="22"/>
          <w:szCs w:val="22"/>
          <w:bdr w:val="none" w:sz="0" w:space="0" w:color="auto" w:frame="1"/>
          <w:lang w:val="es-ES" w:eastAsia="es-ES"/>
        </w:rPr>
        <w:t xml:space="preserve">Considerando la naturaleza declarativa del Resoluciones de actualización proyectadas es permitente considerar lo señalado por el Consejo de Estado (Sala de lo Contencioso Administrativo – Sección Primera) en pronunciamiento del 11 de diciembre de 2006 (Radicación 76001-23-31-000-2001-02199-01) donde indica que de manera </w:t>
      </w:r>
      <w:proofErr w:type="gramStart"/>
      <w:r w:rsidRPr="00077FC7">
        <w:rPr>
          <w:rFonts w:ascii="Arial Narrow" w:eastAsia="Times New Roman" w:hAnsi="Arial Narrow" w:cs="Calibri"/>
          <w:color w:val="000000"/>
          <w:sz w:val="22"/>
          <w:szCs w:val="22"/>
          <w:bdr w:val="none" w:sz="0" w:space="0" w:color="auto" w:frame="1"/>
          <w:lang w:val="es-ES" w:eastAsia="es-ES"/>
        </w:rPr>
        <w:t>excepcional  los</w:t>
      </w:r>
      <w:proofErr w:type="gramEnd"/>
      <w:r w:rsidRPr="00077FC7">
        <w:rPr>
          <w:rFonts w:ascii="Arial Narrow" w:eastAsia="Times New Roman" w:hAnsi="Arial Narrow" w:cs="Calibri"/>
          <w:color w:val="000000"/>
          <w:sz w:val="22"/>
          <w:szCs w:val="22"/>
          <w:bdr w:val="none" w:sz="0" w:space="0" w:color="auto" w:frame="1"/>
          <w:lang w:val="es-ES" w:eastAsia="es-ES"/>
        </w:rPr>
        <w:t xml:space="preserve"> actos administrativos pueden tener efectos hacia el pasado cuando su contenido es declarativo y no constitutivo.   Actos declarativos en tanto contienen la declaración o reconocimiento de la ocurrencia de un hecho y de sus consecuencias jurídicas.</w:t>
      </w:r>
    </w:p>
    <w:p w:rsidR="0007766E" w:rsidRPr="00077FC7" w:rsidRDefault="0007766E" w:rsidP="0007766E">
      <w:pPr>
        <w:shd w:val="clear" w:color="auto" w:fill="FFFFFF"/>
        <w:spacing w:line="264" w:lineRule="auto"/>
        <w:jc w:val="both"/>
        <w:rPr>
          <w:rFonts w:ascii="Arial Narrow" w:eastAsia="Times New Roman" w:hAnsi="Arial Narrow" w:cs="Calibri"/>
          <w:color w:val="000000"/>
          <w:sz w:val="22"/>
          <w:szCs w:val="22"/>
          <w:lang w:val="es-ES" w:eastAsia="es-ES"/>
        </w:rPr>
      </w:pPr>
    </w:p>
    <w:p w:rsidR="0007766E" w:rsidRPr="00077FC7" w:rsidRDefault="0007766E" w:rsidP="0007766E">
      <w:pPr>
        <w:shd w:val="clear" w:color="auto" w:fill="FFFFFF"/>
        <w:spacing w:line="264" w:lineRule="auto"/>
        <w:jc w:val="both"/>
        <w:rPr>
          <w:rFonts w:ascii="Arial Narrow" w:eastAsia="Times New Roman" w:hAnsi="Arial Narrow" w:cs="Calibri"/>
          <w:color w:val="000000"/>
          <w:sz w:val="22"/>
          <w:szCs w:val="22"/>
          <w:lang w:val="es-ES" w:eastAsia="es-ES"/>
        </w:rPr>
      </w:pPr>
      <w:r w:rsidRPr="00077FC7">
        <w:rPr>
          <w:rFonts w:ascii="Arial Narrow" w:eastAsia="Times New Roman" w:hAnsi="Arial Narrow" w:cs="Calibri"/>
          <w:color w:val="000000"/>
          <w:sz w:val="22"/>
          <w:szCs w:val="22"/>
          <w:bdr w:val="none" w:sz="0" w:space="0" w:color="auto" w:frame="1"/>
          <w:lang w:val="es-ES" w:eastAsia="es-ES"/>
        </w:rPr>
        <w:t>En este marco, debe afirmarse que al actualizar el valor de las tarifas el Ministerio no está constituyendo o modificando el vínculo jurídico que sostiene con los operadores, en tanto y cuanto la obligación de pagar la compensación y el componente variable de concesión fue establecida– constituida- en la ley, la regulación y los contratos de manera previa a la expedición de los actos administrativos declarativos de actualización de las tarifas de estas contraprestaciones.</w:t>
      </w:r>
    </w:p>
    <w:p w:rsidR="0007766E" w:rsidRPr="0026060D" w:rsidRDefault="0007766E" w:rsidP="0007766E">
      <w:pPr>
        <w:spacing w:line="264" w:lineRule="auto"/>
        <w:ind w:left="705" w:hanging="705"/>
        <w:jc w:val="both"/>
        <w:rPr>
          <w:rFonts w:ascii="Arial Narrow" w:hAnsi="Arial Narrow" w:cs="Arial"/>
          <w:color w:val="000000" w:themeColor="text1"/>
          <w:sz w:val="22"/>
          <w:szCs w:val="22"/>
          <w:lang w:val="es-ES"/>
        </w:rPr>
      </w:pPr>
    </w:p>
    <w:p w:rsidR="0007766E" w:rsidRPr="00077FC7" w:rsidRDefault="0007766E" w:rsidP="0007766E">
      <w:pPr>
        <w:spacing w:line="264" w:lineRule="auto"/>
        <w:jc w:val="both"/>
        <w:rPr>
          <w:rFonts w:ascii="Arial Narrow" w:hAnsi="Arial Narrow" w:cs="Arial"/>
          <w:b/>
          <w:color w:val="000000" w:themeColor="text1"/>
          <w:sz w:val="22"/>
          <w:szCs w:val="22"/>
        </w:rPr>
      </w:pPr>
    </w:p>
    <w:p w:rsidR="0007766E" w:rsidRPr="00077FC7" w:rsidRDefault="0007766E" w:rsidP="0007766E">
      <w:pPr>
        <w:spacing w:line="264" w:lineRule="auto"/>
        <w:ind w:left="705" w:hanging="705"/>
        <w:jc w:val="both"/>
        <w:rPr>
          <w:rFonts w:ascii="Arial Narrow" w:hAnsi="Arial Narrow" w:cs="Arial"/>
          <w:b/>
          <w:color w:val="000000" w:themeColor="text1"/>
          <w:sz w:val="22"/>
          <w:szCs w:val="22"/>
        </w:rPr>
      </w:pPr>
      <w:r w:rsidRPr="00077FC7">
        <w:rPr>
          <w:rFonts w:ascii="Arial Narrow" w:hAnsi="Arial Narrow" w:cs="Arial"/>
          <w:b/>
          <w:color w:val="000000" w:themeColor="text1"/>
          <w:sz w:val="22"/>
          <w:szCs w:val="22"/>
        </w:rPr>
        <w:t>3.4.</w:t>
      </w:r>
      <w:r w:rsidRPr="00077FC7">
        <w:rPr>
          <w:rFonts w:ascii="Arial Narrow" w:hAnsi="Arial Narrow" w:cs="Arial"/>
          <w:color w:val="000000" w:themeColor="text1"/>
          <w:sz w:val="22"/>
          <w:szCs w:val="22"/>
        </w:rPr>
        <w:tab/>
      </w:r>
      <w:r w:rsidRPr="00077FC7">
        <w:rPr>
          <w:rFonts w:ascii="Arial Narrow" w:hAnsi="Arial Narrow" w:cs="Arial"/>
          <w:b/>
          <w:color w:val="000000" w:themeColor="text1"/>
          <w:sz w:val="22"/>
          <w:szCs w:val="22"/>
        </w:rPr>
        <w:t>Advertencia de cualquier otra circunstancia jurídica que pueda ser relevante para la expedición del acto</w:t>
      </w:r>
    </w:p>
    <w:p w:rsidR="0007766E" w:rsidRPr="00077FC7" w:rsidRDefault="0007766E" w:rsidP="0007766E">
      <w:pPr>
        <w:spacing w:line="264" w:lineRule="auto"/>
        <w:jc w:val="both"/>
        <w:rPr>
          <w:rFonts w:ascii="Arial Narrow" w:hAnsi="Arial Narrow" w:cs="Arial"/>
          <w:color w:val="000000" w:themeColor="text1"/>
          <w:sz w:val="22"/>
          <w:szCs w:val="22"/>
        </w:rPr>
      </w:pPr>
    </w:p>
    <w:p w:rsidR="0007766E" w:rsidRPr="00077FC7" w:rsidRDefault="0007766E" w:rsidP="0007766E">
      <w:pPr>
        <w:spacing w:line="264" w:lineRule="auto"/>
        <w:jc w:val="both"/>
        <w:rPr>
          <w:rFonts w:ascii="Arial Narrow" w:hAnsi="Arial Narrow" w:cs="Arial"/>
          <w:color w:val="000000" w:themeColor="text1"/>
          <w:sz w:val="22"/>
          <w:szCs w:val="22"/>
        </w:rPr>
      </w:pPr>
      <w:r w:rsidRPr="00077FC7">
        <w:rPr>
          <w:rFonts w:ascii="Arial Narrow" w:hAnsi="Arial Narrow" w:cs="Arial"/>
          <w:color w:val="000000" w:themeColor="text1"/>
          <w:sz w:val="22"/>
          <w:szCs w:val="22"/>
        </w:rPr>
        <w:t>En atención a lo previamente expuesto en numeral 3.3 del presente documento, los actos administrativos proyectados tendrán efecto retroactivo a partir del 1 de enero de 2020.</w:t>
      </w:r>
    </w:p>
    <w:p w:rsidR="0007766E" w:rsidRPr="00077FC7" w:rsidRDefault="0007766E" w:rsidP="0007766E">
      <w:pPr>
        <w:spacing w:line="264" w:lineRule="auto"/>
        <w:jc w:val="both"/>
        <w:rPr>
          <w:rFonts w:ascii="Arial Narrow" w:hAnsi="Arial Narrow" w:cs="Arial"/>
          <w:color w:val="000000" w:themeColor="text1"/>
          <w:sz w:val="22"/>
          <w:szCs w:val="22"/>
        </w:rPr>
      </w:pPr>
    </w:p>
    <w:p w:rsidR="0007766E" w:rsidRPr="00077FC7" w:rsidRDefault="0007766E" w:rsidP="0007766E">
      <w:pPr>
        <w:spacing w:line="264" w:lineRule="auto"/>
        <w:jc w:val="both"/>
        <w:rPr>
          <w:rFonts w:ascii="Arial Narrow" w:hAnsi="Arial Narrow" w:cs="Arial"/>
          <w:color w:val="000000" w:themeColor="text1"/>
          <w:sz w:val="22"/>
          <w:szCs w:val="22"/>
        </w:rPr>
      </w:pPr>
    </w:p>
    <w:p w:rsidR="0007766E" w:rsidRPr="00077FC7" w:rsidRDefault="0007766E" w:rsidP="0007766E">
      <w:pPr>
        <w:spacing w:line="264" w:lineRule="auto"/>
        <w:jc w:val="both"/>
        <w:rPr>
          <w:rFonts w:ascii="Arial Narrow" w:hAnsi="Arial Narrow" w:cs="Arial"/>
          <w:b/>
          <w:color w:val="000000" w:themeColor="text1"/>
          <w:sz w:val="22"/>
          <w:szCs w:val="22"/>
          <w:lang w:val="es-ES_tradnl"/>
        </w:rPr>
      </w:pPr>
      <w:r w:rsidRPr="00077FC7">
        <w:rPr>
          <w:rFonts w:ascii="Arial Narrow" w:hAnsi="Arial Narrow" w:cs="Arial"/>
          <w:b/>
          <w:color w:val="000000" w:themeColor="text1"/>
          <w:sz w:val="22"/>
          <w:szCs w:val="22"/>
          <w:lang w:val="es-ES_tradnl"/>
        </w:rPr>
        <w:t>4.</w:t>
      </w:r>
      <w:r w:rsidRPr="00077FC7">
        <w:rPr>
          <w:rFonts w:ascii="Arial Narrow" w:hAnsi="Arial Narrow" w:cs="Arial"/>
          <w:b/>
          <w:color w:val="000000" w:themeColor="text1"/>
          <w:sz w:val="22"/>
          <w:szCs w:val="22"/>
          <w:lang w:val="es-ES_tradnl"/>
        </w:rPr>
        <w:tab/>
        <w:t>Estudio preliminar sobre posible impacto económico de la norma a expedir</w:t>
      </w:r>
    </w:p>
    <w:p w:rsidR="0007766E" w:rsidRPr="00077FC7" w:rsidRDefault="0007766E" w:rsidP="0007766E">
      <w:pPr>
        <w:autoSpaceDE w:val="0"/>
        <w:autoSpaceDN w:val="0"/>
        <w:adjustRightInd w:val="0"/>
        <w:spacing w:line="264" w:lineRule="auto"/>
        <w:jc w:val="both"/>
        <w:rPr>
          <w:rFonts w:ascii="Arial Narrow" w:hAnsi="Arial Narrow" w:cs="Arial"/>
          <w:color w:val="000000" w:themeColor="text1"/>
          <w:sz w:val="22"/>
          <w:szCs w:val="22"/>
        </w:rPr>
      </w:pPr>
    </w:p>
    <w:p w:rsidR="0007766E" w:rsidRPr="00077FC7" w:rsidRDefault="0007766E" w:rsidP="0007766E">
      <w:pPr>
        <w:autoSpaceDE w:val="0"/>
        <w:autoSpaceDN w:val="0"/>
        <w:adjustRightInd w:val="0"/>
        <w:spacing w:line="264" w:lineRule="auto"/>
        <w:jc w:val="both"/>
        <w:rPr>
          <w:rFonts w:ascii="Arial Narrow" w:hAnsi="Arial Narrow" w:cs="Arial"/>
          <w:color w:val="000000" w:themeColor="text1"/>
          <w:sz w:val="22"/>
          <w:szCs w:val="22"/>
        </w:rPr>
      </w:pPr>
      <w:r w:rsidRPr="00077FC7">
        <w:rPr>
          <w:rFonts w:ascii="Arial Narrow" w:hAnsi="Arial Narrow" w:cs="Arial"/>
          <w:sz w:val="22"/>
          <w:szCs w:val="22"/>
          <w:lang w:val="es-ES"/>
        </w:rPr>
        <w:t xml:space="preserve">Las Resoluciones proyectadas </w:t>
      </w:r>
      <w:r w:rsidR="0026060D">
        <w:rPr>
          <w:rFonts w:ascii="Arial Narrow" w:hAnsi="Arial Narrow" w:cs="Arial"/>
          <w:sz w:val="22"/>
          <w:szCs w:val="22"/>
          <w:lang w:val="es-ES"/>
        </w:rPr>
        <w:t xml:space="preserve">actualizan una contraprestación que ya se encuentra pactada contractualmente, por lo tanto no están generando una nueva tarifa </w:t>
      </w:r>
      <w:r w:rsidR="00D2657B">
        <w:rPr>
          <w:rFonts w:ascii="Arial Narrow" w:hAnsi="Arial Narrow" w:cs="Arial"/>
          <w:sz w:val="22"/>
          <w:szCs w:val="22"/>
          <w:lang w:val="es-ES"/>
        </w:rPr>
        <w:t xml:space="preserve">o pago adicional </w:t>
      </w:r>
      <w:r w:rsidR="0026060D">
        <w:rPr>
          <w:rFonts w:ascii="Arial Narrow" w:hAnsi="Arial Narrow" w:cs="Arial"/>
          <w:sz w:val="22"/>
          <w:szCs w:val="22"/>
          <w:lang w:val="es-ES"/>
        </w:rPr>
        <w:t xml:space="preserve">que conlleve un impacto para los operadores de televisión por </w:t>
      </w:r>
      <w:proofErr w:type="gramStart"/>
      <w:r w:rsidR="0026060D">
        <w:rPr>
          <w:rFonts w:ascii="Arial Narrow" w:hAnsi="Arial Narrow" w:cs="Arial"/>
          <w:sz w:val="22"/>
          <w:szCs w:val="22"/>
          <w:lang w:val="es-ES"/>
        </w:rPr>
        <w:t>suscripción</w:t>
      </w:r>
      <w:r w:rsidR="00D2657B">
        <w:rPr>
          <w:rFonts w:ascii="Arial Narrow" w:hAnsi="Arial Narrow" w:cs="Arial"/>
          <w:sz w:val="22"/>
          <w:szCs w:val="22"/>
          <w:lang w:val="es-ES"/>
        </w:rPr>
        <w:t>.</w:t>
      </w:r>
      <w:r w:rsidRPr="00077FC7">
        <w:rPr>
          <w:rFonts w:ascii="Arial Narrow" w:hAnsi="Arial Narrow" w:cs="Arial"/>
          <w:sz w:val="22"/>
          <w:szCs w:val="22"/>
          <w:lang w:val="es-ES"/>
        </w:rPr>
        <w:t>.</w:t>
      </w:r>
      <w:proofErr w:type="gramEnd"/>
    </w:p>
    <w:p w:rsidR="0007766E" w:rsidRDefault="0007766E" w:rsidP="0007766E">
      <w:pPr>
        <w:autoSpaceDE w:val="0"/>
        <w:autoSpaceDN w:val="0"/>
        <w:adjustRightInd w:val="0"/>
        <w:spacing w:line="264" w:lineRule="auto"/>
        <w:jc w:val="both"/>
        <w:rPr>
          <w:rFonts w:ascii="Arial Narrow" w:hAnsi="Arial Narrow" w:cs="Arial"/>
          <w:color w:val="000000" w:themeColor="text1"/>
          <w:sz w:val="22"/>
          <w:szCs w:val="22"/>
        </w:rPr>
      </w:pPr>
    </w:p>
    <w:p w:rsidR="00D2657B" w:rsidRPr="00077FC7" w:rsidRDefault="00D2657B" w:rsidP="0007766E">
      <w:pPr>
        <w:autoSpaceDE w:val="0"/>
        <w:autoSpaceDN w:val="0"/>
        <w:adjustRightInd w:val="0"/>
        <w:spacing w:line="264" w:lineRule="auto"/>
        <w:jc w:val="both"/>
        <w:rPr>
          <w:rFonts w:ascii="Arial Narrow" w:hAnsi="Arial Narrow" w:cs="Arial"/>
          <w:color w:val="000000" w:themeColor="text1"/>
          <w:sz w:val="22"/>
          <w:szCs w:val="22"/>
        </w:rPr>
      </w:pPr>
    </w:p>
    <w:p w:rsidR="0007766E" w:rsidRPr="00077FC7" w:rsidRDefault="0007766E" w:rsidP="0007766E">
      <w:pPr>
        <w:autoSpaceDE w:val="0"/>
        <w:autoSpaceDN w:val="0"/>
        <w:adjustRightInd w:val="0"/>
        <w:spacing w:line="264" w:lineRule="auto"/>
        <w:jc w:val="both"/>
        <w:rPr>
          <w:rFonts w:ascii="Arial Narrow" w:hAnsi="Arial Narrow" w:cs="Arial"/>
          <w:b/>
          <w:bCs/>
          <w:color w:val="000000" w:themeColor="text1"/>
          <w:sz w:val="22"/>
          <w:szCs w:val="22"/>
        </w:rPr>
      </w:pPr>
      <w:r w:rsidRPr="00077FC7">
        <w:rPr>
          <w:rFonts w:ascii="Arial Narrow" w:hAnsi="Arial Narrow" w:cs="Arial"/>
          <w:b/>
          <w:bCs/>
          <w:color w:val="000000" w:themeColor="text1"/>
          <w:sz w:val="22"/>
          <w:szCs w:val="22"/>
        </w:rPr>
        <w:lastRenderedPageBreak/>
        <w:t>5.</w:t>
      </w:r>
      <w:r w:rsidRPr="00077FC7">
        <w:rPr>
          <w:rFonts w:ascii="Arial Narrow" w:hAnsi="Arial Narrow" w:cs="Arial"/>
          <w:b/>
          <w:bCs/>
          <w:color w:val="000000" w:themeColor="text1"/>
          <w:sz w:val="22"/>
          <w:szCs w:val="22"/>
        </w:rPr>
        <w:tab/>
        <w:t>Disponibilidad presupuestal</w:t>
      </w:r>
    </w:p>
    <w:p w:rsidR="0007766E" w:rsidRPr="00077FC7" w:rsidRDefault="0007766E" w:rsidP="0007766E">
      <w:pPr>
        <w:autoSpaceDE w:val="0"/>
        <w:autoSpaceDN w:val="0"/>
        <w:adjustRightInd w:val="0"/>
        <w:spacing w:line="264" w:lineRule="auto"/>
        <w:jc w:val="both"/>
        <w:rPr>
          <w:rFonts w:ascii="Arial Narrow" w:hAnsi="Arial Narrow" w:cs="Arial"/>
          <w:b/>
          <w:bCs/>
          <w:color w:val="000000" w:themeColor="text1"/>
          <w:sz w:val="22"/>
          <w:szCs w:val="22"/>
        </w:rPr>
      </w:pPr>
    </w:p>
    <w:p w:rsidR="0007766E" w:rsidRPr="00077FC7" w:rsidRDefault="0007766E" w:rsidP="0007766E">
      <w:pPr>
        <w:autoSpaceDE w:val="0"/>
        <w:autoSpaceDN w:val="0"/>
        <w:adjustRightInd w:val="0"/>
        <w:spacing w:line="264" w:lineRule="auto"/>
        <w:jc w:val="both"/>
        <w:rPr>
          <w:rFonts w:ascii="Arial Narrow" w:hAnsi="Arial Narrow" w:cs="Arial"/>
          <w:bCs/>
          <w:color w:val="000000" w:themeColor="text1"/>
          <w:sz w:val="22"/>
          <w:szCs w:val="22"/>
        </w:rPr>
      </w:pPr>
      <w:r w:rsidRPr="00077FC7">
        <w:rPr>
          <w:rFonts w:ascii="Arial Narrow" w:hAnsi="Arial Narrow" w:cs="Arial"/>
          <w:bCs/>
          <w:color w:val="000000" w:themeColor="text1"/>
          <w:sz w:val="22"/>
          <w:szCs w:val="22"/>
        </w:rPr>
        <w:t xml:space="preserve">La expedición y </w:t>
      </w:r>
      <w:proofErr w:type="gramStart"/>
      <w:r w:rsidRPr="00077FC7">
        <w:rPr>
          <w:rFonts w:ascii="Arial Narrow" w:hAnsi="Arial Narrow" w:cs="Arial"/>
          <w:bCs/>
          <w:color w:val="000000" w:themeColor="text1"/>
          <w:sz w:val="22"/>
          <w:szCs w:val="22"/>
        </w:rPr>
        <w:t>entrada en vigencia</w:t>
      </w:r>
      <w:proofErr w:type="gramEnd"/>
      <w:r w:rsidRPr="00077FC7">
        <w:rPr>
          <w:rFonts w:ascii="Arial Narrow" w:hAnsi="Arial Narrow" w:cs="Arial"/>
          <w:bCs/>
          <w:color w:val="000000" w:themeColor="text1"/>
          <w:sz w:val="22"/>
          <w:szCs w:val="22"/>
        </w:rPr>
        <w:t xml:space="preserve"> de las resoluciones proyectadas no implica erogación.</w:t>
      </w:r>
    </w:p>
    <w:p w:rsidR="0007766E" w:rsidRPr="00077FC7" w:rsidRDefault="0007766E" w:rsidP="0007766E">
      <w:pPr>
        <w:autoSpaceDE w:val="0"/>
        <w:autoSpaceDN w:val="0"/>
        <w:adjustRightInd w:val="0"/>
        <w:spacing w:line="264" w:lineRule="auto"/>
        <w:jc w:val="both"/>
        <w:rPr>
          <w:rFonts w:ascii="Arial Narrow" w:hAnsi="Arial Narrow" w:cs="Arial"/>
          <w:b/>
          <w:bCs/>
          <w:color w:val="000000" w:themeColor="text1"/>
          <w:sz w:val="22"/>
          <w:szCs w:val="22"/>
        </w:rPr>
      </w:pPr>
    </w:p>
    <w:p w:rsidR="0007766E" w:rsidRPr="00077FC7" w:rsidRDefault="0007766E" w:rsidP="0007766E">
      <w:pPr>
        <w:autoSpaceDE w:val="0"/>
        <w:autoSpaceDN w:val="0"/>
        <w:adjustRightInd w:val="0"/>
        <w:spacing w:line="264" w:lineRule="auto"/>
        <w:ind w:left="705" w:hanging="705"/>
        <w:jc w:val="both"/>
        <w:rPr>
          <w:rFonts w:ascii="Arial Narrow" w:hAnsi="Arial Narrow" w:cs="Arial"/>
          <w:b/>
          <w:bCs/>
          <w:color w:val="000000" w:themeColor="text1"/>
          <w:sz w:val="22"/>
          <w:szCs w:val="22"/>
        </w:rPr>
      </w:pPr>
      <w:r w:rsidRPr="00077FC7">
        <w:rPr>
          <w:rFonts w:ascii="Arial Narrow" w:hAnsi="Arial Narrow" w:cs="Arial"/>
          <w:b/>
          <w:bCs/>
          <w:color w:val="000000" w:themeColor="text1"/>
          <w:sz w:val="22"/>
          <w:szCs w:val="22"/>
        </w:rPr>
        <w:t>6.</w:t>
      </w:r>
      <w:r w:rsidRPr="00077FC7">
        <w:rPr>
          <w:rFonts w:ascii="Arial Narrow" w:hAnsi="Arial Narrow" w:cs="Arial"/>
          <w:b/>
          <w:bCs/>
          <w:color w:val="000000" w:themeColor="text1"/>
          <w:sz w:val="22"/>
          <w:szCs w:val="22"/>
        </w:rPr>
        <w:tab/>
      </w:r>
      <w:r w:rsidRPr="00077FC7">
        <w:rPr>
          <w:rFonts w:ascii="Arial Narrow" w:hAnsi="Arial Narrow" w:cs="Arial"/>
          <w:b/>
          <w:color w:val="000000" w:themeColor="text1"/>
          <w:sz w:val="22"/>
          <w:szCs w:val="22"/>
          <w:lang w:val="es-ES_tradnl"/>
        </w:rPr>
        <w:t>Estudio preliminar sobre posible impacto</w:t>
      </w:r>
      <w:r w:rsidRPr="00077FC7">
        <w:rPr>
          <w:rFonts w:ascii="Arial Narrow" w:hAnsi="Arial Narrow" w:cs="Arial"/>
          <w:b/>
          <w:bCs/>
          <w:color w:val="000000" w:themeColor="text1"/>
          <w:sz w:val="22"/>
          <w:szCs w:val="22"/>
        </w:rPr>
        <w:t xml:space="preserve"> medioambiental o sobre el patrimonio cultural de la Nación</w:t>
      </w:r>
    </w:p>
    <w:p w:rsidR="0007766E" w:rsidRPr="00077FC7" w:rsidRDefault="0007766E" w:rsidP="0007766E">
      <w:pPr>
        <w:autoSpaceDE w:val="0"/>
        <w:autoSpaceDN w:val="0"/>
        <w:adjustRightInd w:val="0"/>
        <w:spacing w:line="264" w:lineRule="auto"/>
        <w:jc w:val="both"/>
        <w:rPr>
          <w:rFonts w:ascii="Arial Narrow" w:hAnsi="Arial Narrow" w:cs="Arial"/>
          <w:color w:val="000000" w:themeColor="text1"/>
          <w:sz w:val="22"/>
          <w:szCs w:val="22"/>
        </w:rPr>
      </w:pPr>
    </w:p>
    <w:p w:rsidR="0007766E" w:rsidRPr="00077FC7" w:rsidRDefault="0007766E" w:rsidP="0007766E">
      <w:pPr>
        <w:autoSpaceDE w:val="0"/>
        <w:autoSpaceDN w:val="0"/>
        <w:adjustRightInd w:val="0"/>
        <w:spacing w:line="264" w:lineRule="auto"/>
        <w:jc w:val="both"/>
        <w:rPr>
          <w:rFonts w:ascii="Arial Narrow" w:hAnsi="Arial Narrow" w:cs="Arial"/>
          <w:color w:val="000000" w:themeColor="text1"/>
          <w:sz w:val="22"/>
          <w:szCs w:val="22"/>
        </w:rPr>
      </w:pPr>
      <w:r w:rsidRPr="00077FC7">
        <w:rPr>
          <w:rFonts w:ascii="Arial Narrow" w:hAnsi="Arial Narrow" w:cs="Arial"/>
          <w:color w:val="000000" w:themeColor="text1"/>
          <w:sz w:val="22"/>
          <w:szCs w:val="22"/>
        </w:rPr>
        <w:t>La norma para expedir no genera impacto medioambiental o sobre el patrimonio cultural de la Nación.</w:t>
      </w:r>
    </w:p>
    <w:p w:rsidR="0007766E" w:rsidRPr="00077FC7" w:rsidRDefault="0007766E" w:rsidP="0007766E">
      <w:pPr>
        <w:autoSpaceDE w:val="0"/>
        <w:autoSpaceDN w:val="0"/>
        <w:adjustRightInd w:val="0"/>
        <w:spacing w:line="264" w:lineRule="auto"/>
        <w:jc w:val="both"/>
        <w:rPr>
          <w:rFonts w:ascii="Arial Narrow" w:hAnsi="Arial Narrow" w:cs="Arial"/>
          <w:color w:val="000000" w:themeColor="text1"/>
          <w:sz w:val="22"/>
          <w:szCs w:val="22"/>
        </w:rPr>
      </w:pPr>
    </w:p>
    <w:p w:rsidR="0007766E" w:rsidRPr="00077FC7" w:rsidRDefault="0007766E" w:rsidP="0007766E">
      <w:pPr>
        <w:spacing w:line="264" w:lineRule="auto"/>
        <w:contextualSpacing/>
        <w:jc w:val="both"/>
        <w:rPr>
          <w:rFonts w:ascii="Arial Narrow" w:hAnsi="Arial Narrow" w:cs="Arial"/>
          <w:b/>
          <w:color w:val="000000" w:themeColor="text1"/>
          <w:sz w:val="22"/>
          <w:szCs w:val="22"/>
        </w:rPr>
      </w:pPr>
    </w:p>
    <w:p w:rsidR="0007766E" w:rsidRPr="00077FC7" w:rsidRDefault="0007766E" w:rsidP="0007766E">
      <w:pPr>
        <w:pStyle w:val="NormalWeb"/>
        <w:spacing w:before="0" w:beforeAutospacing="0" w:after="0" w:afterAutospacing="0" w:line="264" w:lineRule="auto"/>
        <w:jc w:val="both"/>
        <w:rPr>
          <w:rFonts w:ascii="Arial Narrow" w:hAnsi="Arial Narrow" w:cs="Arial"/>
          <w:b/>
          <w:color w:val="000000" w:themeColor="text1"/>
          <w:sz w:val="22"/>
          <w:szCs w:val="22"/>
        </w:rPr>
      </w:pPr>
      <w:r w:rsidRPr="00077FC7">
        <w:rPr>
          <w:rFonts w:ascii="Arial Narrow" w:hAnsi="Arial Narrow" w:cs="Arial"/>
          <w:b/>
          <w:color w:val="000000" w:themeColor="text1"/>
          <w:sz w:val="22"/>
          <w:szCs w:val="22"/>
        </w:rPr>
        <w:t>7.</w:t>
      </w:r>
      <w:r w:rsidRPr="00077FC7">
        <w:rPr>
          <w:rFonts w:ascii="Arial Narrow" w:hAnsi="Arial Narrow" w:cs="Arial"/>
          <w:b/>
          <w:color w:val="000000" w:themeColor="text1"/>
          <w:sz w:val="22"/>
          <w:szCs w:val="22"/>
        </w:rPr>
        <w:tab/>
        <w:t>Manifestación de Impacto Regulatorio</w:t>
      </w:r>
    </w:p>
    <w:p w:rsidR="0007766E" w:rsidRPr="00077FC7" w:rsidRDefault="0007766E" w:rsidP="0007766E">
      <w:pPr>
        <w:pStyle w:val="NormalWeb"/>
        <w:spacing w:before="0" w:beforeAutospacing="0" w:after="0" w:afterAutospacing="0" w:line="264" w:lineRule="auto"/>
        <w:jc w:val="both"/>
        <w:rPr>
          <w:rFonts w:ascii="Arial Narrow" w:hAnsi="Arial Narrow" w:cs="Arial"/>
          <w:color w:val="000000" w:themeColor="text1"/>
          <w:sz w:val="22"/>
          <w:szCs w:val="22"/>
        </w:rPr>
      </w:pPr>
    </w:p>
    <w:p w:rsidR="0007766E" w:rsidRPr="00077FC7" w:rsidRDefault="0007766E" w:rsidP="0007766E">
      <w:pPr>
        <w:spacing w:line="264" w:lineRule="auto"/>
        <w:jc w:val="both"/>
        <w:rPr>
          <w:rFonts w:ascii="Arial Narrow" w:eastAsia="Times New Roman" w:hAnsi="Arial Narrow" w:cs="Arial"/>
          <w:color w:val="000000" w:themeColor="text1"/>
          <w:sz w:val="22"/>
          <w:szCs w:val="22"/>
          <w:lang w:val="es-ES" w:eastAsia="es-ES"/>
        </w:rPr>
      </w:pPr>
      <w:bookmarkStart w:id="1" w:name="_GoBack"/>
      <w:r w:rsidRPr="00077FC7">
        <w:rPr>
          <w:rFonts w:ascii="Arial Narrow" w:eastAsia="Times New Roman" w:hAnsi="Arial Narrow" w:cs="Arial"/>
          <w:color w:val="000000" w:themeColor="text1"/>
          <w:sz w:val="22"/>
          <w:szCs w:val="22"/>
          <w:lang w:val="es-ES" w:eastAsia="es-ES"/>
        </w:rPr>
        <w:t xml:space="preserve">El proyecto </w:t>
      </w:r>
      <w:r w:rsidR="00CD451D">
        <w:rPr>
          <w:rFonts w:ascii="Arial Narrow" w:eastAsia="Times New Roman" w:hAnsi="Arial Narrow" w:cs="Arial"/>
          <w:color w:val="000000" w:themeColor="text1"/>
          <w:sz w:val="22"/>
          <w:szCs w:val="22"/>
          <w:lang w:val="es-ES" w:eastAsia="es-ES"/>
        </w:rPr>
        <w:t>de resolución no genera una nueva obligación</w:t>
      </w:r>
      <w:r w:rsidRPr="00077FC7">
        <w:rPr>
          <w:rFonts w:ascii="Arial Narrow" w:eastAsia="Times New Roman" w:hAnsi="Arial Narrow" w:cs="Arial"/>
          <w:color w:val="000000" w:themeColor="text1"/>
          <w:sz w:val="22"/>
          <w:szCs w:val="22"/>
          <w:lang w:val="es-ES" w:eastAsia="es-ES"/>
        </w:rPr>
        <w:t xml:space="preserve"> y por tanto no necesita manifestación de impacto regulatorio.</w:t>
      </w:r>
    </w:p>
    <w:bookmarkEnd w:id="1"/>
    <w:p w:rsidR="00AB4116" w:rsidRPr="0007766E" w:rsidRDefault="00AB4116">
      <w:pPr>
        <w:rPr>
          <w:lang w:val="es-ES"/>
        </w:rPr>
      </w:pPr>
    </w:p>
    <w:sectPr w:rsidR="00AB4116" w:rsidRPr="0007766E" w:rsidSect="00C9528B">
      <w:headerReference w:type="default" r:id="rId7"/>
      <w:footerReference w:type="default" r:id="rId8"/>
      <w:pgSz w:w="12240" w:h="15840" w:code="1"/>
      <w:pgMar w:top="1418" w:right="1041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5104" w:rsidRDefault="005E5104">
      <w:r>
        <w:separator/>
      </w:r>
    </w:p>
  </w:endnote>
  <w:endnote w:type="continuationSeparator" w:id="0">
    <w:p w:rsidR="005E5104" w:rsidRDefault="005E5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 Narrow" w:hAnsi="Arial Narrow"/>
        <w:sz w:val="16"/>
        <w:szCs w:val="16"/>
      </w:rPr>
      <w:id w:val="-361285649"/>
      <w:docPartObj>
        <w:docPartGallery w:val="Page Numbers (Bottom of Page)"/>
        <w:docPartUnique/>
      </w:docPartObj>
    </w:sdtPr>
    <w:sdtEndPr/>
    <w:sdtContent>
      <w:sdt>
        <w:sdtPr>
          <w:rPr>
            <w:rFonts w:ascii="Arial Narrow" w:hAnsi="Arial Narrow"/>
            <w:sz w:val="16"/>
            <w:szCs w:val="16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C9528B" w:rsidRDefault="00C9528B" w:rsidP="00C9528B">
            <w:pPr>
              <w:pStyle w:val="Piedepgina"/>
              <w:rPr>
                <w:rFonts w:ascii="Arial Narrow" w:hAnsi="Arial Narrow"/>
                <w:sz w:val="16"/>
                <w:szCs w:val="16"/>
              </w:rPr>
            </w:pPr>
          </w:p>
          <w:p w:rsidR="00C9528B" w:rsidRDefault="00C9528B" w:rsidP="00C9528B">
            <w:pPr>
              <w:pStyle w:val="Piedepgina"/>
              <w:rPr>
                <w:rFonts w:ascii="Arial Narrow" w:hAnsi="Arial Narrow"/>
                <w:bCs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ab/>
            </w:r>
            <w:r w:rsidRPr="00374DDE">
              <w:rPr>
                <w:rFonts w:ascii="Arial Narrow" w:hAnsi="Arial Narrow"/>
                <w:sz w:val="16"/>
                <w:szCs w:val="16"/>
                <w:lang w:val="es-ES"/>
              </w:rPr>
              <w:t xml:space="preserve">Página </w:t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fldChar w:fldCharType="begin"/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instrText>PAGE</w:instrText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fldChar w:fldCharType="separate"/>
            </w:r>
            <w:r>
              <w:rPr>
                <w:rFonts w:ascii="Arial Narrow" w:hAnsi="Arial Narrow"/>
                <w:bCs/>
                <w:noProof/>
                <w:sz w:val="16"/>
                <w:szCs w:val="16"/>
              </w:rPr>
              <w:t>5</w:t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fldChar w:fldCharType="end"/>
            </w:r>
            <w:r w:rsidRPr="00374DDE">
              <w:rPr>
                <w:rFonts w:ascii="Arial Narrow" w:hAnsi="Arial Narrow"/>
                <w:sz w:val="16"/>
                <w:szCs w:val="16"/>
                <w:lang w:val="es-ES"/>
              </w:rPr>
              <w:t xml:space="preserve"> de </w:t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fldChar w:fldCharType="begin"/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instrText>NUMPAGES</w:instrText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fldChar w:fldCharType="separate"/>
            </w:r>
            <w:r>
              <w:rPr>
                <w:rFonts w:ascii="Arial Narrow" w:hAnsi="Arial Narrow"/>
                <w:bCs/>
                <w:noProof/>
                <w:sz w:val="16"/>
                <w:szCs w:val="16"/>
              </w:rPr>
              <w:t>6</w:t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fldChar w:fldCharType="end"/>
            </w:r>
            <w:r>
              <w:rPr>
                <w:rFonts w:ascii="Arial Narrow" w:hAnsi="Arial Narrow"/>
                <w:bCs/>
                <w:sz w:val="16"/>
                <w:szCs w:val="16"/>
              </w:rPr>
              <w:tab/>
              <w:t>GJU-TIC-FM-013</w:t>
            </w:r>
          </w:p>
          <w:p w:rsidR="00C9528B" w:rsidRPr="00374DDE" w:rsidRDefault="00C9528B" w:rsidP="00C9528B">
            <w:pPr>
              <w:pStyle w:val="Piedepgina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bCs/>
                <w:sz w:val="16"/>
                <w:szCs w:val="16"/>
              </w:rPr>
              <w:tab/>
            </w:r>
            <w:r>
              <w:rPr>
                <w:rFonts w:ascii="Arial Narrow" w:hAnsi="Arial Narrow"/>
                <w:bCs/>
                <w:sz w:val="16"/>
                <w:szCs w:val="16"/>
              </w:rPr>
              <w:tab/>
              <w:t>V 1.0</w:t>
            </w:r>
          </w:p>
        </w:sdtContent>
      </w:sdt>
    </w:sdtContent>
  </w:sdt>
  <w:p w:rsidR="00C9528B" w:rsidRDefault="00C9528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5104" w:rsidRDefault="005E5104">
      <w:r>
        <w:separator/>
      </w:r>
    </w:p>
  </w:footnote>
  <w:footnote w:type="continuationSeparator" w:id="0">
    <w:p w:rsidR="005E5104" w:rsidRDefault="005E51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461" w:type="pct"/>
      <w:jc w:val="center"/>
      <w:tblBorders>
        <w:insideH w:val="single" w:sz="4" w:space="0" w:color="auto"/>
      </w:tblBorders>
      <w:tblLook w:val="01E0" w:firstRow="1" w:lastRow="1" w:firstColumn="1" w:lastColumn="1" w:noHBand="0" w:noVBand="0"/>
    </w:tblPr>
    <w:tblGrid>
      <w:gridCol w:w="10993"/>
    </w:tblGrid>
    <w:tr w:rsidR="00C9528B" w:rsidRPr="00384075" w:rsidTr="00C9528B">
      <w:trPr>
        <w:trHeight w:val="565"/>
        <w:jc w:val="center"/>
      </w:trPr>
      <w:tc>
        <w:tcPr>
          <w:tcW w:w="9889" w:type="dxa"/>
          <w:vAlign w:val="center"/>
        </w:tcPr>
        <w:p w:rsidR="00C9528B" w:rsidRPr="00384075" w:rsidRDefault="00C9528B" w:rsidP="00C9528B">
          <w:pPr>
            <w:pStyle w:val="Estilo2"/>
            <w:numPr>
              <w:ilvl w:val="0"/>
              <w:numId w:val="0"/>
            </w:numPr>
            <w:ind w:left="360"/>
            <w:jc w:val="right"/>
            <w:rPr>
              <w:rFonts w:ascii="Arial" w:hAnsi="Arial" w:cs="Arial"/>
              <w:sz w:val="20"/>
              <w:szCs w:val="20"/>
            </w:rPr>
          </w:pPr>
          <w:r w:rsidRPr="00384075">
            <w:rPr>
              <w:rFonts w:ascii="Arial" w:hAnsi="Arial" w:cs="Arial"/>
              <w:sz w:val="20"/>
              <w:szCs w:val="20"/>
            </w:rPr>
            <w:t xml:space="preserve"> </w:t>
          </w:r>
        </w:p>
        <w:tbl>
          <w:tblPr>
            <w:tblStyle w:val="Tablaconcuadrcula"/>
            <w:tblW w:w="10033" w:type="dxa"/>
            <w:tblLook w:val="04A0" w:firstRow="1" w:lastRow="0" w:firstColumn="1" w:lastColumn="0" w:noHBand="0" w:noVBand="1"/>
          </w:tblPr>
          <w:tblGrid>
            <w:gridCol w:w="3606"/>
            <w:gridCol w:w="4871"/>
            <w:gridCol w:w="1556"/>
          </w:tblGrid>
          <w:tr w:rsidR="00C9528B" w:rsidTr="00C9528B">
            <w:trPr>
              <w:trHeight w:val="1275"/>
            </w:trPr>
            <w:tc>
              <w:tcPr>
                <w:tcW w:w="2183" w:type="dxa"/>
                <w:vAlign w:val="center"/>
              </w:tcPr>
              <w:p w:rsidR="00C9528B" w:rsidRDefault="00C9528B" w:rsidP="00C9528B">
                <w:pPr>
                  <w:pStyle w:val="Encabezado"/>
                  <w:jc w:val="center"/>
                </w:pPr>
                <w:r>
                  <w:rPr>
                    <w:noProof/>
                    <w:lang w:val="es-ES"/>
                  </w:rPr>
                  <w:drawing>
                    <wp:inline distT="0" distB="0" distL="0" distR="0" wp14:anchorId="194FBFC7" wp14:editId="237D04B8">
                      <wp:extent cx="2148840" cy="388620"/>
                      <wp:effectExtent l="0" t="0" r="3810" b="0"/>
                      <wp:docPr id="23" name="Imagen 2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Imagen 6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48840" cy="3886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264" w:type="dxa"/>
                <w:vAlign w:val="center"/>
              </w:tcPr>
              <w:p w:rsidR="00C9528B" w:rsidRPr="00BB1B4A" w:rsidRDefault="00C9528B" w:rsidP="00C9528B">
                <w:pPr>
                  <w:jc w:val="center"/>
                  <w:rPr>
                    <w:rFonts w:ascii="Arial Narrow" w:hAnsi="Arial Narrow"/>
                    <w:b/>
                  </w:rPr>
                </w:pPr>
                <w:r w:rsidRPr="00BB1B4A">
                  <w:rPr>
                    <w:rFonts w:ascii="Arial Narrow" w:hAnsi="Arial Narrow"/>
                    <w:b/>
                  </w:rPr>
                  <w:t>SOPORTE TÉCNICO</w:t>
                </w:r>
              </w:p>
            </w:tc>
            <w:tc>
              <w:tcPr>
                <w:tcW w:w="1586" w:type="dxa"/>
                <w:vAlign w:val="center"/>
              </w:tcPr>
              <w:p w:rsidR="00C9528B" w:rsidRDefault="00C9528B" w:rsidP="00C9528B">
                <w:pPr>
                  <w:pStyle w:val="Encabezado"/>
                  <w:jc w:val="center"/>
                </w:pPr>
                <w:r w:rsidRPr="004161E7">
                  <w:rPr>
                    <w:noProof/>
                    <w:lang w:val="es-ES"/>
                  </w:rPr>
                  <w:drawing>
                    <wp:inline distT="0" distB="0" distL="0" distR="0" wp14:anchorId="0E2ACF01" wp14:editId="1B5409C5">
                      <wp:extent cx="791570" cy="768114"/>
                      <wp:effectExtent l="0" t="0" r="8890" b="0"/>
                      <wp:docPr id="24" name="1 Image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1 Imagen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856" t="6711" r="6302" b="537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98900" cy="77522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C9528B" w:rsidRPr="00384075" w:rsidRDefault="00C9528B" w:rsidP="00C9528B">
          <w:pPr>
            <w:pStyle w:val="Estilo2"/>
            <w:numPr>
              <w:ilvl w:val="0"/>
              <w:numId w:val="0"/>
            </w:numPr>
            <w:ind w:left="360"/>
            <w:jc w:val="right"/>
            <w:rPr>
              <w:rFonts w:ascii="Arial" w:hAnsi="Arial" w:cs="Arial"/>
            </w:rPr>
          </w:pPr>
        </w:p>
      </w:tc>
    </w:tr>
  </w:tbl>
  <w:p w:rsidR="00C9528B" w:rsidRPr="00874DE8" w:rsidRDefault="00C9528B" w:rsidP="00C9528B">
    <w:pPr>
      <w:pStyle w:val="Encabezado"/>
      <w:jc w:val="right"/>
      <w:rPr>
        <w:rFonts w:ascii="Arial Narrow" w:hAnsi="Arial Narrow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825C96"/>
    <w:multiLevelType w:val="multilevel"/>
    <w:tmpl w:val="0C0A001F"/>
    <w:styleLink w:val="Estilo1"/>
    <w:lvl w:ilvl="0">
      <w:start w:val="1"/>
      <w:numFmt w:val="decimal"/>
      <w:pStyle w:val="Estilo1CarCarCa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Estilo2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pStyle w:val="Estilo3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pStyle w:val="Estilo4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66E"/>
    <w:rsid w:val="0007766E"/>
    <w:rsid w:val="0026060D"/>
    <w:rsid w:val="005E5104"/>
    <w:rsid w:val="0070060A"/>
    <w:rsid w:val="007D5F91"/>
    <w:rsid w:val="00922C2E"/>
    <w:rsid w:val="00AB4116"/>
    <w:rsid w:val="00B6694A"/>
    <w:rsid w:val="00C9528B"/>
    <w:rsid w:val="00CA7600"/>
    <w:rsid w:val="00CD451D"/>
    <w:rsid w:val="00D2657B"/>
    <w:rsid w:val="00EE5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1CE8F7-B12D-4D3B-BD5B-D01E7B0F0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7766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07766E"/>
    <w:pPr>
      <w:tabs>
        <w:tab w:val="center" w:pos="4252"/>
        <w:tab w:val="right" w:pos="8504"/>
      </w:tabs>
    </w:pPr>
    <w:rPr>
      <w:rFonts w:eastAsia="Times New Roman"/>
      <w:lang w:val="x-none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7766E"/>
    <w:rPr>
      <w:rFonts w:ascii="Times New Roman" w:eastAsia="Times New Roman" w:hAnsi="Times New Roman" w:cs="Times New Roman"/>
      <w:sz w:val="24"/>
      <w:szCs w:val="24"/>
      <w:lang w:val="x-none" w:eastAsia="es-ES"/>
    </w:rPr>
  </w:style>
  <w:style w:type="numbering" w:customStyle="1" w:styleId="Estilo1">
    <w:name w:val="Estilo1"/>
    <w:basedOn w:val="Sinlista"/>
    <w:rsid w:val="0007766E"/>
    <w:pPr>
      <w:numPr>
        <w:numId w:val="1"/>
      </w:numPr>
    </w:pPr>
  </w:style>
  <w:style w:type="paragraph" w:customStyle="1" w:styleId="Estilo1CarCarCar">
    <w:name w:val="Estilo 1 Car Car Car"/>
    <w:basedOn w:val="Normal"/>
    <w:rsid w:val="0007766E"/>
    <w:pPr>
      <w:numPr>
        <w:numId w:val="1"/>
      </w:numPr>
      <w:jc w:val="both"/>
    </w:pPr>
    <w:rPr>
      <w:rFonts w:ascii="Verdana" w:eastAsia="Times New Roman" w:hAnsi="Verdana"/>
      <w:b/>
      <w:lang w:val="x-none" w:eastAsia="es-ES"/>
    </w:rPr>
  </w:style>
  <w:style w:type="paragraph" w:customStyle="1" w:styleId="Estilo2">
    <w:name w:val="Estilo2"/>
    <w:basedOn w:val="Normal"/>
    <w:rsid w:val="0007766E"/>
    <w:pPr>
      <w:numPr>
        <w:ilvl w:val="1"/>
        <w:numId w:val="1"/>
      </w:numPr>
    </w:pPr>
    <w:rPr>
      <w:rFonts w:ascii="Verdana" w:eastAsia="Times New Roman" w:hAnsi="Verdana"/>
      <w:lang w:val="es-ES" w:eastAsia="es-ES"/>
    </w:rPr>
  </w:style>
  <w:style w:type="paragraph" w:customStyle="1" w:styleId="Estilo3">
    <w:name w:val="Estilo3"/>
    <w:basedOn w:val="Normal"/>
    <w:rsid w:val="0007766E"/>
    <w:pPr>
      <w:numPr>
        <w:ilvl w:val="2"/>
        <w:numId w:val="1"/>
      </w:numPr>
    </w:pPr>
    <w:rPr>
      <w:rFonts w:ascii="Verdana" w:eastAsia="Times New Roman" w:hAnsi="Verdana"/>
      <w:lang w:val="es-ES" w:eastAsia="es-ES"/>
    </w:rPr>
  </w:style>
  <w:style w:type="paragraph" w:customStyle="1" w:styleId="Estilo4">
    <w:name w:val="Estilo4"/>
    <w:basedOn w:val="Continuarlista"/>
    <w:rsid w:val="0007766E"/>
    <w:pPr>
      <w:numPr>
        <w:ilvl w:val="3"/>
        <w:numId w:val="1"/>
      </w:numPr>
      <w:tabs>
        <w:tab w:val="clear" w:pos="2520"/>
        <w:tab w:val="num" w:pos="360"/>
        <w:tab w:val="num" w:pos="1080"/>
        <w:tab w:val="num" w:pos="2880"/>
      </w:tabs>
      <w:spacing w:after="0"/>
      <w:ind w:left="1080" w:hanging="1080"/>
      <w:contextualSpacing w:val="0"/>
      <w:jc w:val="both"/>
    </w:pPr>
    <w:rPr>
      <w:rFonts w:ascii="Verdana" w:eastAsia="Times New Roman" w:hAnsi="Verdana"/>
      <w:sz w:val="22"/>
      <w:szCs w:val="22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07766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7766E"/>
    <w:rPr>
      <w:rFonts w:ascii="Times New Roman" w:eastAsia="Calibri" w:hAnsi="Times New Roman" w:cs="Times New Roman"/>
      <w:sz w:val="24"/>
      <w:szCs w:val="24"/>
      <w:lang w:eastAsia="es-CO"/>
    </w:rPr>
  </w:style>
  <w:style w:type="paragraph" w:styleId="NormalWeb">
    <w:name w:val="Normal (Web)"/>
    <w:basedOn w:val="Normal"/>
    <w:uiPriority w:val="99"/>
    <w:rsid w:val="0007766E"/>
    <w:pPr>
      <w:spacing w:before="100" w:beforeAutospacing="1" w:after="100" w:afterAutospacing="1"/>
    </w:pPr>
    <w:rPr>
      <w:rFonts w:eastAsia="Times New Roman"/>
      <w:lang w:val="es-ES" w:eastAsia="es-ES"/>
    </w:rPr>
  </w:style>
  <w:style w:type="paragraph" w:styleId="Prrafodelista">
    <w:name w:val="List Paragraph"/>
    <w:aliases w:val="Viñetas - bolitas 3er nivel"/>
    <w:basedOn w:val="Normal"/>
    <w:link w:val="PrrafodelistaCar"/>
    <w:uiPriority w:val="34"/>
    <w:qFormat/>
    <w:rsid w:val="0007766E"/>
    <w:pPr>
      <w:ind w:left="720"/>
      <w:contextualSpacing/>
    </w:pPr>
  </w:style>
  <w:style w:type="table" w:styleId="Tablaconcuadrcula">
    <w:name w:val="Table Grid"/>
    <w:basedOn w:val="Tablanormal"/>
    <w:uiPriority w:val="59"/>
    <w:rsid w:val="000776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link w:val="SubttuloCar"/>
    <w:qFormat/>
    <w:rsid w:val="0007766E"/>
    <w:pPr>
      <w:spacing w:after="60"/>
      <w:jc w:val="center"/>
      <w:outlineLvl w:val="1"/>
    </w:pPr>
    <w:rPr>
      <w:rFonts w:ascii="Tahoma" w:eastAsia="Times New Roman" w:hAnsi="Tahoma"/>
      <w:szCs w:val="20"/>
      <w:lang w:val="es-ES" w:eastAsia="es-ES"/>
    </w:rPr>
  </w:style>
  <w:style w:type="character" w:customStyle="1" w:styleId="SubttuloCar">
    <w:name w:val="Subtítulo Car"/>
    <w:basedOn w:val="Fuentedeprrafopredeter"/>
    <w:link w:val="Subttulo"/>
    <w:rsid w:val="0007766E"/>
    <w:rPr>
      <w:rFonts w:ascii="Tahoma" w:eastAsia="Times New Roman" w:hAnsi="Tahoma" w:cs="Times New Roman"/>
      <w:sz w:val="24"/>
      <w:szCs w:val="20"/>
      <w:lang w:val="es-ES" w:eastAsia="es-ES"/>
    </w:rPr>
  </w:style>
  <w:style w:type="character" w:customStyle="1" w:styleId="PrrafodelistaCar">
    <w:name w:val="Párrafo de lista Car"/>
    <w:aliases w:val="Viñetas - bolitas 3er nivel Car"/>
    <w:link w:val="Prrafodelista"/>
    <w:uiPriority w:val="34"/>
    <w:locked/>
    <w:rsid w:val="0007766E"/>
    <w:rPr>
      <w:rFonts w:ascii="Times New Roman" w:eastAsia="Calibri" w:hAnsi="Times New Roman" w:cs="Times New Roman"/>
      <w:sz w:val="24"/>
      <w:szCs w:val="24"/>
      <w:lang w:eastAsia="es-CO"/>
    </w:rPr>
  </w:style>
  <w:style w:type="paragraph" w:styleId="Continuarlista">
    <w:name w:val="List Continue"/>
    <w:basedOn w:val="Normal"/>
    <w:uiPriority w:val="99"/>
    <w:semiHidden/>
    <w:unhideWhenUsed/>
    <w:rsid w:val="0007766E"/>
    <w:pPr>
      <w:spacing w:after="120"/>
      <w:ind w:left="283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7766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766E"/>
    <w:rPr>
      <w:rFonts w:ascii="Segoe UI" w:eastAsia="Calibri" w:hAnsi="Segoe UI" w:cs="Segoe UI"/>
      <w:sz w:val="18"/>
      <w:szCs w:val="18"/>
      <w:lang w:eastAsia="es-CO"/>
    </w:rPr>
  </w:style>
  <w:style w:type="character" w:styleId="Refdecomentario">
    <w:name w:val="annotation reference"/>
    <w:basedOn w:val="Fuentedeprrafopredeter"/>
    <w:uiPriority w:val="99"/>
    <w:rsid w:val="0007766E"/>
    <w:rPr>
      <w:rFonts w:cs="Times New Roman"/>
      <w:sz w:val="16"/>
    </w:rPr>
  </w:style>
  <w:style w:type="paragraph" w:styleId="Textocomentario">
    <w:name w:val="annotation text"/>
    <w:basedOn w:val="Normal"/>
    <w:link w:val="TextocomentarioCar"/>
    <w:uiPriority w:val="99"/>
    <w:rsid w:val="0007766E"/>
    <w:pPr>
      <w:widowControl w:val="0"/>
      <w:autoSpaceDE w:val="0"/>
      <w:autoSpaceDN w:val="0"/>
      <w:adjustRightInd w:val="0"/>
      <w:spacing w:after="120"/>
      <w:jc w:val="both"/>
    </w:pPr>
    <w:rPr>
      <w:rFonts w:ascii="Arial" w:eastAsia="Times New Roman" w:hAnsi="Arial"/>
      <w:sz w:val="20"/>
      <w:szCs w:val="20"/>
      <w:lang w:val="es-ES_tradnl"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7766E"/>
    <w:rPr>
      <w:rFonts w:ascii="Arial" w:eastAsia="Times New Roman" w:hAnsi="Arial" w:cs="Times New Roman"/>
      <w:sz w:val="20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1356</Words>
  <Characters>7459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Fabiola Tellez Fontecha</dc:creator>
  <cp:keywords/>
  <dc:description/>
  <cp:lastModifiedBy>Fabiola Tellez Fontecha</cp:lastModifiedBy>
  <cp:revision>2</cp:revision>
  <dcterms:created xsi:type="dcterms:W3CDTF">2020-06-18T17:25:00Z</dcterms:created>
  <dcterms:modified xsi:type="dcterms:W3CDTF">2020-06-18T17:25:00Z</dcterms:modified>
</cp:coreProperties>
</file>