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497"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106417" w14:paraId="622425D0" w14:textId="77777777" w:rsidTr="4C77AD8D">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D04AD78" w14:textId="77777777" w:rsidR="0026513E" w:rsidRPr="00106417" w:rsidRDefault="00795C6B" w:rsidP="00BF5B5E">
            <w:pPr>
              <w:pStyle w:val="Ttulo2"/>
              <w:ind w:right="72"/>
              <w:jc w:val="left"/>
              <w:rPr>
                <w:rFonts w:cs="Arial"/>
                <w:bCs/>
                <w:color w:val="FFFFFF"/>
                <w:sz w:val="22"/>
                <w:szCs w:val="22"/>
              </w:rPr>
            </w:pPr>
            <w:r w:rsidRPr="00106417">
              <w:rPr>
                <w:rFonts w:cs="Arial"/>
                <w:color w:val="FFFFFF"/>
                <w:sz w:val="22"/>
                <w:szCs w:val="22"/>
                <w:lang w:val="es-CO"/>
              </w:rPr>
              <w:t>Entidad</w:t>
            </w:r>
            <w:r w:rsidR="00086B16" w:rsidRPr="00106417">
              <w:rPr>
                <w:rFonts w:cs="Arial"/>
                <w:color w:val="FFFFFF"/>
                <w:sz w:val="22"/>
                <w:szCs w:val="22"/>
                <w:lang w:val="es-CO"/>
              </w:rPr>
              <w:t xml:space="preserve"> </w:t>
            </w:r>
            <w:r w:rsidRPr="00106417">
              <w:rPr>
                <w:rFonts w:cs="Arial"/>
                <w:color w:val="FFFFFF"/>
                <w:sz w:val="22"/>
                <w:szCs w:val="22"/>
                <w:lang w:val="es-CO"/>
              </w:rPr>
              <w:t>originadora</w:t>
            </w:r>
            <w:r w:rsidR="00293F29" w:rsidRPr="00106417">
              <w:rPr>
                <w:rFonts w:cs="Arial"/>
                <w:color w:val="FFFFFF"/>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6AD6749C" w14:textId="77777777" w:rsidR="0026513E" w:rsidRPr="00106417" w:rsidRDefault="0033662F" w:rsidP="002061C5">
            <w:pPr>
              <w:pStyle w:val="Ttulo2"/>
              <w:ind w:right="72"/>
              <w:jc w:val="left"/>
              <w:rPr>
                <w:rFonts w:cs="Arial"/>
                <w:b w:val="0"/>
                <w:sz w:val="22"/>
                <w:szCs w:val="22"/>
              </w:rPr>
            </w:pPr>
            <w:r w:rsidRPr="00106417">
              <w:rPr>
                <w:rFonts w:cs="Arial"/>
                <w:b w:val="0"/>
                <w:sz w:val="22"/>
                <w:szCs w:val="22"/>
              </w:rPr>
              <w:t>Ministerio de Tecnologías de la Información y las Comunicaciones.</w:t>
            </w:r>
          </w:p>
        </w:tc>
      </w:tr>
      <w:tr w:rsidR="005C4522" w:rsidRPr="00106417" w14:paraId="6BDF70EA" w14:textId="77777777" w:rsidTr="4C77AD8D">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3756C8B8" w14:textId="77777777" w:rsidR="00C47F73" w:rsidRPr="00106417" w:rsidRDefault="0026513E" w:rsidP="00BF5B5E">
            <w:pPr>
              <w:pStyle w:val="Ttulo2"/>
              <w:ind w:right="72"/>
              <w:jc w:val="left"/>
              <w:rPr>
                <w:rFonts w:cs="Arial"/>
                <w:bCs/>
                <w:color w:val="FFFFFF"/>
                <w:sz w:val="22"/>
                <w:szCs w:val="22"/>
              </w:rPr>
            </w:pPr>
            <w:r w:rsidRPr="00106417">
              <w:rPr>
                <w:rFonts w:cs="Arial"/>
                <w:bCs/>
                <w:color w:val="FFFFFF"/>
                <w:sz w:val="22"/>
                <w:szCs w:val="22"/>
              </w:rPr>
              <w:t>Fecha</w:t>
            </w:r>
            <w:r w:rsidR="00BB545F" w:rsidRPr="00106417">
              <w:rPr>
                <w:rFonts w:cs="Arial"/>
                <w:bCs/>
                <w:color w:val="FFFFFF"/>
                <w:sz w:val="22"/>
                <w:szCs w:val="22"/>
              </w:rPr>
              <w:t xml:space="preserve"> (</w:t>
            </w:r>
            <w:proofErr w:type="spellStart"/>
            <w:r w:rsidR="00BB545F" w:rsidRPr="00106417">
              <w:rPr>
                <w:rFonts w:cs="Arial"/>
                <w:bCs/>
                <w:color w:val="FFFFFF"/>
                <w:sz w:val="22"/>
                <w:szCs w:val="22"/>
              </w:rPr>
              <w:t>dd</w:t>
            </w:r>
            <w:proofErr w:type="spellEnd"/>
            <w:r w:rsidR="00BB545F" w:rsidRPr="00106417">
              <w:rPr>
                <w:rFonts w:cs="Arial"/>
                <w:bCs/>
                <w:color w:val="FFFFFF"/>
                <w:sz w:val="22"/>
                <w:szCs w:val="22"/>
              </w:rPr>
              <w:t>/mm/</w:t>
            </w:r>
            <w:proofErr w:type="spellStart"/>
            <w:r w:rsidR="00BB545F" w:rsidRPr="00106417">
              <w:rPr>
                <w:rFonts w:cs="Arial"/>
                <w:bCs/>
                <w:color w:val="FFFFFF"/>
                <w:sz w:val="22"/>
                <w:szCs w:val="22"/>
              </w:rPr>
              <w:t>aa</w:t>
            </w:r>
            <w:proofErr w:type="spellEnd"/>
            <w:r w:rsidR="00BB545F" w:rsidRPr="00106417">
              <w:rPr>
                <w:rFonts w:cs="Arial"/>
                <w:bCs/>
                <w:color w:val="FFFFFF"/>
                <w:sz w:val="22"/>
                <w:szCs w:val="22"/>
              </w:rPr>
              <w:t>)</w:t>
            </w:r>
            <w:r w:rsidR="00293F29" w:rsidRPr="00106417">
              <w:rPr>
                <w:rFonts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40C7286D" w14:textId="0D15AA70" w:rsidR="00C47F73" w:rsidRPr="00106417" w:rsidRDefault="0042770B" w:rsidP="002061C5">
            <w:pPr>
              <w:pStyle w:val="Ttulo2"/>
              <w:ind w:right="72"/>
              <w:jc w:val="left"/>
              <w:rPr>
                <w:rFonts w:cs="Arial"/>
                <w:b w:val="0"/>
                <w:sz w:val="22"/>
                <w:szCs w:val="22"/>
              </w:rPr>
            </w:pPr>
            <w:r>
              <w:rPr>
                <w:rFonts w:cs="Arial"/>
                <w:b w:val="0"/>
                <w:sz w:val="22"/>
                <w:szCs w:val="22"/>
              </w:rPr>
              <w:t>26</w:t>
            </w:r>
            <w:r w:rsidR="00526A43" w:rsidRPr="00106417">
              <w:rPr>
                <w:rFonts w:cs="Arial"/>
                <w:b w:val="0"/>
                <w:sz w:val="22"/>
                <w:szCs w:val="22"/>
              </w:rPr>
              <w:t>/0</w:t>
            </w:r>
            <w:r>
              <w:rPr>
                <w:rFonts w:cs="Arial"/>
                <w:b w:val="0"/>
                <w:sz w:val="22"/>
                <w:szCs w:val="22"/>
              </w:rPr>
              <w:t>5</w:t>
            </w:r>
            <w:r w:rsidR="00526A43" w:rsidRPr="00106417">
              <w:rPr>
                <w:rFonts w:cs="Arial"/>
                <w:b w:val="0"/>
                <w:sz w:val="22"/>
                <w:szCs w:val="22"/>
              </w:rPr>
              <w:t>/2021</w:t>
            </w:r>
          </w:p>
        </w:tc>
      </w:tr>
      <w:tr w:rsidR="005C4522" w:rsidRPr="00106417" w14:paraId="68E31251" w14:textId="77777777" w:rsidTr="4C77AD8D">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70453613" w14:textId="77777777" w:rsidR="0059316B" w:rsidRPr="00106417" w:rsidRDefault="00A55DB6" w:rsidP="00BF5B5E">
            <w:pPr>
              <w:pStyle w:val="Ttulo2"/>
              <w:ind w:right="72"/>
              <w:jc w:val="left"/>
              <w:rPr>
                <w:rFonts w:cs="Arial"/>
                <w:bCs/>
                <w:color w:val="FFFFFF"/>
                <w:sz w:val="22"/>
                <w:szCs w:val="22"/>
              </w:rPr>
            </w:pPr>
            <w:r w:rsidRPr="00106417">
              <w:rPr>
                <w:rFonts w:cs="Arial"/>
                <w:bCs/>
                <w:color w:val="FFFFFF"/>
                <w:sz w:val="22"/>
                <w:szCs w:val="22"/>
              </w:rPr>
              <w:t xml:space="preserve">Proyecto de </w:t>
            </w:r>
            <w:r w:rsidR="00587695" w:rsidRPr="00106417">
              <w:rPr>
                <w:rFonts w:cs="Arial"/>
                <w:bCs/>
                <w:color w:val="FFFFFF"/>
                <w:sz w:val="22"/>
                <w:szCs w:val="22"/>
              </w:rPr>
              <w:t>D</w:t>
            </w:r>
            <w:r w:rsidRPr="00106417">
              <w:rPr>
                <w:rFonts w:cs="Arial"/>
                <w:bCs/>
                <w:color w:val="FFFFFF"/>
                <w:sz w:val="22"/>
                <w:szCs w:val="22"/>
              </w:rPr>
              <w:t>ecreto</w:t>
            </w:r>
            <w:r w:rsidR="00795C6B" w:rsidRPr="00106417">
              <w:rPr>
                <w:rFonts w:cs="Arial"/>
                <w:bCs/>
                <w:color w:val="FFFFFF"/>
                <w:sz w:val="22"/>
                <w:szCs w:val="22"/>
              </w:rPr>
              <w:t>/Resolución</w:t>
            </w:r>
            <w:r w:rsidR="00293F29" w:rsidRPr="00106417">
              <w:rPr>
                <w:rFonts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276FC8E0" w14:textId="77777777" w:rsidR="001F238A" w:rsidRPr="00106417" w:rsidRDefault="0033662F" w:rsidP="002061C5">
            <w:pPr>
              <w:pStyle w:val="Ttulo2"/>
              <w:ind w:right="72"/>
              <w:jc w:val="left"/>
              <w:rPr>
                <w:rFonts w:cs="Arial"/>
                <w:spacing w:val="-3"/>
                <w:sz w:val="22"/>
                <w:szCs w:val="22"/>
              </w:rPr>
            </w:pPr>
            <w:r w:rsidRPr="00106417">
              <w:rPr>
                <w:rFonts w:cs="Arial"/>
                <w:b w:val="0"/>
                <w:sz w:val="22"/>
                <w:szCs w:val="22"/>
              </w:rPr>
              <w:t>“</w:t>
            </w:r>
            <w:r w:rsidR="002061C5" w:rsidRPr="00106417">
              <w:rPr>
                <w:rFonts w:cs="Arial"/>
                <w:b w:val="0"/>
                <w:sz w:val="22"/>
                <w:szCs w:val="22"/>
                <w:lang w:val="es-CO"/>
              </w:rPr>
              <w:t>Por el cual se modifica el artículo 2.2.2.4.1 del Decreto Único Reglamentario del Sector de Tecnologías de la Información y las Comunicaciones, Decreto 1078 de 2015</w:t>
            </w:r>
            <w:r w:rsidRPr="00106417">
              <w:rPr>
                <w:rFonts w:cs="Arial"/>
                <w:b w:val="0"/>
                <w:sz w:val="22"/>
                <w:szCs w:val="22"/>
              </w:rPr>
              <w:t>”</w:t>
            </w:r>
          </w:p>
        </w:tc>
      </w:tr>
      <w:tr w:rsidR="00DF60FD" w:rsidRPr="00106417" w14:paraId="2A41C5AB" w14:textId="77777777" w:rsidTr="4C77AD8D">
        <w:trPr>
          <w:trHeight w:val="68"/>
        </w:trPr>
        <w:tc>
          <w:tcPr>
            <w:tcW w:w="10774" w:type="dxa"/>
            <w:gridSpan w:val="3"/>
            <w:shd w:val="clear" w:color="auto" w:fill="FFFFFF" w:themeFill="background1"/>
            <w:vAlign w:val="center"/>
          </w:tcPr>
          <w:p w14:paraId="69EC224E" w14:textId="77777777" w:rsidR="001E2CC8" w:rsidRPr="00106417" w:rsidRDefault="001E2CC8" w:rsidP="001E2CC8">
            <w:pPr>
              <w:numPr>
                <w:ilvl w:val="0"/>
                <w:numId w:val="44"/>
              </w:numPr>
              <w:ind w:left="494"/>
              <w:rPr>
                <w:rFonts w:cs="Arial"/>
                <w:b/>
                <w:color w:val="000000"/>
                <w:sz w:val="22"/>
                <w:szCs w:val="22"/>
                <w:lang w:val="es-CO"/>
              </w:rPr>
            </w:pPr>
            <w:r w:rsidRPr="00106417">
              <w:rPr>
                <w:rFonts w:cs="Arial"/>
                <w:b/>
                <w:color w:val="000000"/>
                <w:sz w:val="22"/>
                <w:szCs w:val="22"/>
                <w:lang w:val="es-CO"/>
              </w:rPr>
              <w:t>ANTECEDENTES Y RAZONES DE OPORTUNIDAD Y CONVENIENCIA QUE JUSTIFICAN SU EXPEDICIÓN.</w:t>
            </w:r>
          </w:p>
          <w:p w14:paraId="28F0D88D" w14:textId="77777777" w:rsidR="002061C5" w:rsidRPr="00106417" w:rsidRDefault="002061C5" w:rsidP="002061C5">
            <w:pPr>
              <w:jc w:val="both"/>
              <w:rPr>
                <w:rFonts w:cs="Arial"/>
                <w:sz w:val="22"/>
                <w:szCs w:val="22"/>
              </w:rPr>
            </w:pPr>
            <w:r w:rsidRPr="00106417">
              <w:rPr>
                <w:rFonts w:cs="Arial"/>
                <w:sz w:val="22"/>
                <w:szCs w:val="22"/>
              </w:rPr>
              <w:t>El espectro es un recurso público escaso, vital para proporcionar servicios de telecomunicaciones en un área geográfica determinada. Por est</w:t>
            </w:r>
            <w:r w:rsidR="001E2CC8" w:rsidRPr="00106417">
              <w:rPr>
                <w:rFonts w:cs="Arial"/>
                <w:sz w:val="22"/>
                <w:szCs w:val="22"/>
              </w:rPr>
              <w:t>a</w:t>
            </w:r>
            <w:r w:rsidRPr="00106417">
              <w:rPr>
                <w:rFonts w:cs="Arial"/>
                <w:sz w:val="22"/>
                <w:szCs w:val="22"/>
              </w:rPr>
              <w:t xml:space="preserve"> razón, los Estados deben propender por su uso eficiente y garantizar el aprovechamiento de los servicios que este posibilita para toda su comunidad. As</w:t>
            </w:r>
            <w:r w:rsidR="001E2CC8" w:rsidRPr="00106417">
              <w:rPr>
                <w:rFonts w:cs="Arial"/>
                <w:sz w:val="22"/>
                <w:szCs w:val="22"/>
              </w:rPr>
              <w:t>í</w:t>
            </w:r>
            <w:r w:rsidRPr="00106417">
              <w:rPr>
                <w:rFonts w:cs="Arial"/>
                <w:sz w:val="22"/>
                <w:szCs w:val="22"/>
              </w:rPr>
              <w:t xml:space="preserve"> mismo, la constante evolución tecnológica y la demanda creciente de conectividad por parte </w:t>
            </w:r>
            <w:r w:rsidRPr="00106417" w:rsidDel="00C904C9">
              <w:rPr>
                <w:rFonts w:cs="Arial"/>
                <w:sz w:val="22"/>
                <w:szCs w:val="22"/>
              </w:rPr>
              <w:t>de</w:t>
            </w:r>
            <w:r w:rsidRPr="00106417">
              <w:rPr>
                <w:rFonts w:cs="Arial"/>
                <w:sz w:val="22"/>
                <w:szCs w:val="22"/>
              </w:rPr>
              <w:t xml:space="preserve"> los usuarios hace necesario que se mantenga una oferta de espectro para servicios móviles, que es requerida para el despliegue de tecnologías de vanguardia y la reducción de la brecha digital. </w:t>
            </w:r>
          </w:p>
          <w:p w14:paraId="672A6659" w14:textId="77777777" w:rsidR="002061C5" w:rsidRPr="00106417" w:rsidRDefault="002061C5" w:rsidP="002061C5">
            <w:pPr>
              <w:jc w:val="both"/>
              <w:rPr>
                <w:rFonts w:cs="Arial"/>
                <w:sz w:val="22"/>
                <w:szCs w:val="22"/>
              </w:rPr>
            </w:pPr>
          </w:p>
          <w:p w14:paraId="374718FF" w14:textId="77777777" w:rsidR="002061C5" w:rsidRPr="00106417" w:rsidRDefault="002061C5" w:rsidP="002061C5">
            <w:pPr>
              <w:jc w:val="both"/>
              <w:rPr>
                <w:rFonts w:cs="Arial"/>
                <w:sz w:val="22"/>
                <w:szCs w:val="22"/>
              </w:rPr>
            </w:pPr>
            <w:r w:rsidRPr="00106417">
              <w:rPr>
                <w:rFonts w:cs="Arial"/>
                <w:sz w:val="22"/>
                <w:szCs w:val="22"/>
              </w:rPr>
              <w:t>A nivel mundial cada país o administración posee dentro del mercado de telecomunicaciones móvil un número de operadores que se encargan de proveer servicios de voz y de datos a nivel nacional o regional. De tal manera que al asignar permisos de uso del espectro para servicios móviles el Estado busca fomentar la oferta de bienes y servicios para los usuarios y, con ello, mejorar la asequibilidad del servicio</w:t>
            </w:r>
            <w:r w:rsidRPr="00106417" w:rsidDel="0034047F">
              <w:rPr>
                <w:rFonts w:cs="Arial"/>
                <w:sz w:val="22"/>
                <w:szCs w:val="22"/>
              </w:rPr>
              <w:t>.</w:t>
            </w:r>
            <w:r w:rsidRPr="00106417">
              <w:rPr>
                <w:rFonts w:cs="Arial"/>
                <w:sz w:val="22"/>
                <w:szCs w:val="22"/>
              </w:rPr>
              <w:t xml:space="preserve"> </w:t>
            </w:r>
          </w:p>
          <w:p w14:paraId="0A37501D" w14:textId="77777777" w:rsidR="002061C5" w:rsidRPr="00106417" w:rsidRDefault="002061C5" w:rsidP="002061C5">
            <w:pPr>
              <w:jc w:val="both"/>
              <w:rPr>
                <w:rFonts w:cs="Arial"/>
                <w:sz w:val="22"/>
                <w:szCs w:val="22"/>
              </w:rPr>
            </w:pPr>
          </w:p>
          <w:p w14:paraId="6F3685D0" w14:textId="77777777" w:rsidR="002061C5" w:rsidRPr="00106417" w:rsidRDefault="002061C5" w:rsidP="002061C5">
            <w:pPr>
              <w:jc w:val="both"/>
              <w:rPr>
                <w:rFonts w:cs="Arial"/>
                <w:sz w:val="22"/>
                <w:szCs w:val="22"/>
              </w:rPr>
            </w:pPr>
            <w:r w:rsidRPr="00106417">
              <w:rPr>
                <w:rFonts w:cs="Arial"/>
                <w:sz w:val="22"/>
                <w:szCs w:val="22"/>
              </w:rPr>
              <w:t>En este sentido, las administraciones han utilizado la fijación de topes de espectro como una herramienta que establece la máxima cantidad del espectro sobre el que pueden recaer los permisos asignados a una empresa prestadora de servicios,</w:t>
            </w:r>
            <w:r w:rsidRPr="00106417" w:rsidDel="009B571E">
              <w:rPr>
                <w:rFonts w:cs="Arial"/>
                <w:sz w:val="22"/>
                <w:szCs w:val="22"/>
              </w:rPr>
              <w:t xml:space="preserve"> </w:t>
            </w:r>
            <w:r w:rsidRPr="00106417">
              <w:rPr>
                <w:rFonts w:cs="Arial"/>
                <w:sz w:val="22"/>
                <w:szCs w:val="22"/>
              </w:rPr>
              <w:t xml:space="preserve">con el fin de incentivar el uso eficiente del recurso y evitar su acaparamiento. </w:t>
            </w:r>
          </w:p>
          <w:p w14:paraId="5DAB6C7B" w14:textId="77777777" w:rsidR="002061C5" w:rsidRPr="00106417" w:rsidRDefault="002061C5" w:rsidP="002061C5">
            <w:pPr>
              <w:jc w:val="both"/>
              <w:rPr>
                <w:rFonts w:cs="Arial"/>
                <w:sz w:val="22"/>
                <w:szCs w:val="22"/>
              </w:rPr>
            </w:pPr>
          </w:p>
          <w:p w14:paraId="33A9A1D8" w14:textId="72003895" w:rsidR="002061C5" w:rsidRPr="00106417" w:rsidRDefault="002061C5" w:rsidP="002061C5">
            <w:pPr>
              <w:jc w:val="both"/>
              <w:rPr>
                <w:rFonts w:cs="Arial"/>
                <w:sz w:val="22"/>
                <w:szCs w:val="22"/>
              </w:rPr>
            </w:pPr>
            <w:r w:rsidRPr="00106417">
              <w:rPr>
                <w:rFonts w:cs="Arial"/>
                <w:sz w:val="22"/>
                <w:szCs w:val="22"/>
              </w:rPr>
              <w:t>Adicionalmente, a partir de la expedición de la Ley 1978 de 2019, es objetivo de la política pública del sector, buscar la maximización del bienestar social y el cierre de la brecha digital en los procesos de asignaci</w:t>
            </w:r>
            <w:r w:rsidR="00106417" w:rsidRPr="00106417">
              <w:rPr>
                <w:rFonts w:cs="Arial"/>
                <w:sz w:val="22"/>
                <w:szCs w:val="22"/>
              </w:rPr>
              <w:t>ó</w:t>
            </w:r>
            <w:r w:rsidRPr="00106417">
              <w:rPr>
                <w:rFonts w:cs="Arial"/>
                <w:sz w:val="22"/>
                <w:szCs w:val="22"/>
              </w:rPr>
              <w:t>n</w:t>
            </w:r>
            <w:r w:rsidR="0042770B">
              <w:rPr>
                <w:rFonts w:cs="Arial"/>
                <w:sz w:val="22"/>
                <w:szCs w:val="22"/>
              </w:rPr>
              <w:t xml:space="preserve"> de espectro</w:t>
            </w:r>
            <w:r w:rsidRPr="00106417">
              <w:rPr>
                <w:rFonts w:cs="Arial"/>
                <w:sz w:val="22"/>
                <w:szCs w:val="22"/>
              </w:rPr>
              <w:t>.</w:t>
            </w:r>
          </w:p>
          <w:p w14:paraId="02EB378F" w14:textId="77777777" w:rsidR="002061C5" w:rsidRPr="00106417" w:rsidRDefault="002061C5" w:rsidP="002061C5">
            <w:pPr>
              <w:jc w:val="both"/>
              <w:rPr>
                <w:rFonts w:cs="Arial"/>
                <w:sz w:val="22"/>
                <w:szCs w:val="22"/>
              </w:rPr>
            </w:pPr>
          </w:p>
          <w:p w14:paraId="008A8035" w14:textId="77777777" w:rsidR="002061C5" w:rsidRPr="00106417" w:rsidRDefault="002061C5" w:rsidP="002061C5">
            <w:pPr>
              <w:jc w:val="both"/>
              <w:rPr>
                <w:rFonts w:cs="Arial"/>
                <w:sz w:val="22"/>
                <w:szCs w:val="22"/>
              </w:rPr>
            </w:pPr>
            <w:r w:rsidRPr="00106417">
              <w:rPr>
                <w:rFonts w:cs="Arial"/>
                <w:sz w:val="22"/>
                <w:szCs w:val="22"/>
              </w:rPr>
              <w:t>En</w:t>
            </w:r>
            <w:r w:rsidRPr="00106417" w:rsidDel="00983604">
              <w:rPr>
                <w:rFonts w:cs="Arial"/>
                <w:sz w:val="22"/>
                <w:szCs w:val="22"/>
              </w:rPr>
              <w:t xml:space="preserve"> </w:t>
            </w:r>
            <w:r w:rsidRPr="00106417">
              <w:rPr>
                <w:rFonts w:cs="Arial"/>
                <w:sz w:val="22"/>
                <w:szCs w:val="22"/>
              </w:rPr>
              <w:t>el mundo se han fijado diferentes tipos de topes que evidencian las situaciones particulares que enfrentan las administraciones para realizar un proceso de selección objetiva para la</w:t>
            </w:r>
            <w:r w:rsidRPr="00106417" w:rsidDel="009201D1">
              <w:rPr>
                <w:rFonts w:cs="Arial"/>
                <w:sz w:val="22"/>
                <w:szCs w:val="22"/>
              </w:rPr>
              <w:t xml:space="preserve"> </w:t>
            </w:r>
            <w:r w:rsidRPr="00106417">
              <w:rPr>
                <w:rFonts w:cs="Arial"/>
                <w:sz w:val="22"/>
                <w:szCs w:val="22"/>
              </w:rPr>
              <w:t>asignación de permisos de uso del espectro. Para el caso de Colombia, se han aplicado los topes de tipo acumulativo, por grupos de bandas, que a la fecha están clasificadas como bajas y altas</w:t>
            </w:r>
            <w:r w:rsidRPr="00106417">
              <w:rPr>
                <w:rFonts w:cs="Arial"/>
                <w:sz w:val="22"/>
                <w:szCs w:val="22"/>
                <w:vertAlign w:val="superscript"/>
              </w:rPr>
              <w:footnoteReference w:id="2"/>
            </w:r>
            <w:r w:rsidRPr="00106417">
              <w:rPr>
                <w:rFonts w:cs="Arial"/>
                <w:sz w:val="22"/>
                <w:szCs w:val="22"/>
              </w:rPr>
              <w:t xml:space="preserve">. </w:t>
            </w:r>
          </w:p>
          <w:p w14:paraId="6A05A809" w14:textId="77777777" w:rsidR="00251FCE" w:rsidRPr="00106417" w:rsidRDefault="00251FCE" w:rsidP="00BF5B5E">
            <w:pPr>
              <w:jc w:val="both"/>
              <w:rPr>
                <w:rFonts w:cs="Arial"/>
                <w:sz w:val="22"/>
                <w:szCs w:val="22"/>
                <w:lang w:eastAsia="es-CO"/>
              </w:rPr>
            </w:pPr>
          </w:p>
          <w:p w14:paraId="2E4FC287" w14:textId="235920EA" w:rsidR="002061C5" w:rsidRPr="00106417" w:rsidRDefault="001E2CC8" w:rsidP="002061C5">
            <w:pPr>
              <w:jc w:val="both"/>
              <w:rPr>
                <w:rFonts w:cs="Arial"/>
                <w:sz w:val="22"/>
                <w:szCs w:val="22"/>
              </w:rPr>
            </w:pPr>
            <w:r w:rsidRPr="00106417">
              <w:rPr>
                <w:rFonts w:cs="Arial"/>
                <w:sz w:val="22"/>
                <w:szCs w:val="22"/>
              </w:rPr>
              <w:t>E</w:t>
            </w:r>
            <w:r w:rsidR="002061C5" w:rsidRPr="00106417">
              <w:rPr>
                <w:rFonts w:cs="Arial"/>
                <w:sz w:val="22"/>
                <w:szCs w:val="22"/>
              </w:rPr>
              <w:t xml:space="preserve">l desarrollo de nuevas tecnologías de telecomunicaciones como 5G incentivan la demanda de espectro, incidiendo en la necesidad de modificación de los topes. En este contexto, de acuerdo con </w:t>
            </w:r>
            <w:r w:rsidR="79D6170F" w:rsidRPr="00106417">
              <w:rPr>
                <w:rFonts w:cs="Arial"/>
                <w:sz w:val="22"/>
                <w:szCs w:val="22"/>
              </w:rPr>
              <w:t xml:space="preserve">la </w:t>
            </w:r>
            <w:r w:rsidR="002061C5" w:rsidRPr="00106417">
              <w:rPr>
                <w:rFonts w:cs="Arial"/>
                <w:sz w:val="22"/>
                <w:szCs w:val="22"/>
              </w:rPr>
              <w:t xml:space="preserve">GSMA (Asociación </w:t>
            </w:r>
            <w:r w:rsidR="33BEE587" w:rsidRPr="00106417">
              <w:rPr>
                <w:rFonts w:cs="Arial"/>
                <w:sz w:val="22"/>
                <w:szCs w:val="22"/>
              </w:rPr>
              <w:t>S</w:t>
            </w:r>
            <w:r w:rsidR="002061C5" w:rsidRPr="00106417">
              <w:rPr>
                <w:rFonts w:cs="Arial"/>
                <w:sz w:val="22"/>
                <w:szCs w:val="22"/>
              </w:rPr>
              <w:t xml:space="preserve">istema </w:t>
            </w:r>
            <w:r w:rsidR="4BC52067" w:rsidRPr="00106417">
              <w:rPr>
                <w:rFonts w:cs="Arial"/>
                <w:sz w:val="22"/>
                <w:szCs w:val="22"/>
              </w:rPr>
              <w:t>G</w:t>
            </w:r>
            <w:r w:rsidR="002061C5" w:rsidRPr="00106417">
              <w:rPr>
                <w:rFonts w:cs="Arial"/>
                <w:sz w:val="22"/>
                <w:szCs w:val="22"/>
              </w:rPr>
              <w:t xml:space="preserve">lobal para </w:t>
            </w:r>
            <w:r w:rsidR="4FEBE7A8" w:rsidRPr="00106417">
              <w:rPr>
                <w:rFonts w:cs="Arial"/>
                <w:sz w:val="22"/>
                <w:szCs w:val="22"/>
              </w:rPr>
              <w:t>C</w:t>
            </w:r>
            <w:r w:rsidR="002061C5" w:rsidRPr="00106417">
              <w:rPr>
                <w:rFonts w:cs="Arial"/>
                <w:sz w:val="22"/>
                <w:szCs w:val="22"/>
              </w:rPr>
              <w:t xml:space="preserve">omunicaciones </w:t>
            </w:r>
            <w:r w:rsidR="248E0786" w:rsidRPr="00106417">
              <w:rPr>
                <w:rFonts w:cs="Arial"/>
                <w:sz w:val="22"/>
                <w:szCs w:val="22"/>
              </w:rPr>
              <w:t>M</w:t>
            </w:r>
            <w:r w:rsidR="002061C5" w:rsidRPr="00106417">
              <w:rPr>
                <w:rFonts w:cs="Arial"/>
                <w:sz w:val="22"/>
                <w:szCs w:val="22"/>
              </w:rPr>
              <w:t>óviles por sus siglas en inglés)</w:t>
            </w:r>
            <w:r w:rsidR="10FE86E3" w:rsidRPr="00106417">
              <w:rPr>
                <w:rFonts w:cs="Arial"/>
                <w:sz w:val="22"/>
                <w:szCs w:val="22"/>
              </w:rPr>
              <w:t>,</w:t>
            </w:r>
            <w:r w:rsidR="002061C5" w:rsidRPr="00106417">
              <w:rPr>
                <w:rFonts w:cs="Arial"/>
                <w:sz w:val="22"/>
                <w:szCs w:val="22"/>
              </w:rPr>
              <w:t xml:space="preserve"> América Latina podría adoptar 5G hacia mediados de la década</w:t>
            </w:r>
            <w:r w:rsidR="4CDF8F02" w:rsidRPr="00106417">
              <w:rPr>
                <w:rFonts w:cs="Arial"/>
                <w:sz w:val="22"/>
                <w:szCs w:val="22"/>
              </w:rPr>
              <w:t>,</w:t>
            </w:r>
            <w:r w:rsidR="002061C5" w:rsidRPr="00106417">
              <w:rPr>
                <w:rFonts w:cs="Arial"/>
                <w:sz w:val="22"/>
                <w:szCs w:val="22"/>
              </w:rPr>
              <w:t xml:space="preserve"> después de que se den mejoras significativas en las economías de escala de dispositivos e infraestructuras, esperando más de 62 millones de conexiones 5G para 2025</w:t>
            </w:r>
            <w:r w:rsidR="00F11F2B">
              <w:rPr>
                <w:rStyle w:val="Refdenotaalpie"/>
                <w:rFonts w:cs="Arial"/>
                <w:sz w:val="22"/>
                <w:szCs w:val="22"/>
              </w:rPr>
              <w:footnoteReference w:id="3"/>
            </w:r>
            <w:r w:rsidR="002061C5" w:rsidRPr="00106417">
              <w:rPr>
                <w:rFonts w:cs="Arial"/>
                <w:sz w:val="22"/>
                <w:szCs w:val="22"/>
              </w:rPr>
              <w:t>, y a nivel mundial se espera un crecimiento del mercado de infraestructura 5G del 118% compuesto anual entre 2018 y 2022, alcanzando 26 billones USD</w:t>
            </w:r>
            <w:r w:rsidR="00F11F2B">
              <w:rPr>
                <w:rStyle w:val="Refdenotaalpie"/>
                <w:rFonts w:cs="Arial"/>
                <w:sz w:val="22"/>
                <w:szCs w:val="22"/>
              </w:rPr>
              <w:footnoteReference w:id="4"/>
            </w:r>
            <w:r w:rsidR="002061C5" w:rsidRPr="00106417">
              <w:rPr>
                <w:rFonts w:cs="Arial"/>
                <w:sz w:val="22"/>
                <w:szCs w:val="22"/>
              </w:rPr>
              <w:t>.</w:t>
            </w:r>
          </w:p>
          <w:p w14:paraId="5A39BBE3" w14:textId="77777777" w:rsidR="002061C5" w:rsidRPr="00106417" w:rsidRDefault="002061C5" w:rsidP="002061C5">
            <w:pPr>
              <w:jc w:val="both"/>
              <w:rPr>
                <w:rFonts w:cs="Arial"/>
                <w:sz w:val="22"/>
                <w:szCs w:val="22"/>
              </w:rPr>
            </w:pPr>
          </w:p>
          <w:p w14:paraId="20654905" w14:textId="344EE217" w:rsidR="002061C5" w:rsidRPr="00106417" w:rsidRDefault="002061C5" w:rsidP="002061C5">
            <w:pPr>
              <w:jc w:val="both"/>
              <w:rPr>
                <w:rFonts w:cs="Arial"/>
                <w:sz w:val="22"/>
                <w:szCs w:val="22"/>
              </w:rPr>
            </w:pPr>
            <w:r w:rsidRPr="00106417">
              <w:rPr>
                <w:rFonts w:cs="Arial"/>
                <w:sz w:val="22"/>
                <w:szCs w:val="22"/>
              </w:rPr>
              <w:t>Dado este escenario, la fijación de topes cobra relevancia, porque puede incentivar la adecuada adopción de nuevas tecnologías y el aprovechamiento de los beneficios sociales y económicos que el uso de estas tecnolog</w:t>
            </w:r>
            <w:r w:rsidR="005C6489" w:rsidRPr="00106417">
              <w:rPr>
                <w:rFonts w:cs="Arial"/>
                <w:sz w:val="22"/>
                <w:szCs w:val="22"/>
              </w:rPr>
              <w:t>í</w:t>
            </w:r>
            <w:r w:rsidRPr="00106417">
              <w:rPr>
                <w:rFonts w:cs="Arial"/>
                <w:sz w:val="22"/>
                <w:szCs w:val="22"/>
              </w:rPr>
              <w:t>as trae a la sociedad</w:t>
            </w:r>
            <w:r w:rsidR="008C20C9">
              <w:rPr>
                <w:rStyle w:val="Refdenotaalpie"/>
                <w:rFonts w:cs="Arial"/>
                <w:sz w:val="22"/>
                <w:szCs w:val="22"/>
              </w:rPr>
              <w:footnoteReference w:id="5"/>
            </w:r>
            <w:r w:rsidRPr="00106417">
              <w:rPr>
                <w:rFonts w:cs="Arial"/>
                <w:sz w:val="22"/>
                <w:szCs w:val="22"/>
              </w:rPr>
              <w:t>.</w:t>
            </w:r>
          </w:p>
          <w:p w14:paraId="41C8F396" w14:textId="77777777" w:rsidR="002061C5" w:rsidRPr="00106417" w:rsidRDefault="002061C5" w:rsidP="002061C5">
            <w:pPr>
              <w:jc w:val="both"/>
              <w:rPr>
                <w:rFonts w:cs="Arial"/>
                <w:sz w:val="22"/>
                <w:szCs w:val="22"/>
              </w:rPr>
            </w:pPr>
          </w:p>
          <w:p w14:paraId="62B25711" w14:textId="6A4F7CC6" w:rsidR="002061C5" w:rsidRPr="00106417" w:rsidRDefault="002061C5" w:rsidP="4C77AD8D">
            <w:pPr>
              <w:jc w:val="both"/>
              <w:rPr>
                <w:rFonts w:cs="Arial"/>
                <w:b/>
                <w:bCs/>
                <w:i/>
                <w:iCs/>
                <w:sz w:val="22"/>
                <w:szCs w:val="22"/>
              </w:rPr>
            </w:pPr>
            <w:r w:rsidRPr="00106417">
              <w:rPr>
                <w:rFonts w:cs="Arial"/>
                <w:sz w:val="22"/>
                <w:szCs w:val="22"/>
              </w:rPr>
              <w:t xml:space="preserve">Adicionalmente, de acuerdo con recomendaciones de la OCDE para América Latina; </w:t>
            </w:r>
            <w:r w:rsidRPr="00106417">
              <w:rPr>
                <w:rFonts w:cs="Arial"/>
                <w:b/>
                <w:bCs/>
                <w:sz w:val="22"/>
                <w:szCs w:val="22"/>
              </w:rPr>
              <w:t>“Es necesario disponer de un marco normativo estable y previsible para promover la inversión a largo plazo en infraestructuras de banda ancha. Una reglamentación sólida contribuirá a ampliar la expansión de la infraestructura al reducir el costo del despliegue.</w:t>
            </w:r>
            <w:r w:rsidRPr="4C77AD8D">
              <w:rPr>
                <w:rFonts w:cs="Arial"/>
                <w:b/>
                <w:bCs/>
                <w:i/>
                <w:iCs/>
                <w:sz w:val="22"/>
                <w:szCs w:val="22"/>
              </w:rPr>
              <w:t>”</w:t>
            </w:r>
            <w:r w:rsidR="00E00F4C">
              <w:t xml:space="preserve"> </w:t>
            </w:r>
            <w:r w:rsidR="00E00F4C">
              <w:rPr>
                <w:rStyle w:val="Refdenotaalpie"/>
              </w:rPr>
              <w:footnoteReference w:id="6"/>
            </w:r>
          </w:p>
          <w:p w14:paraId="72A3D3EC" w14:textId="77777777" w:rsidR="002061C5" w:rsidRPr="00106417" w:rsidRDefault="002061C5" w:rsidP="002061C5">
            <w:pPr>
              <w:jc w:val="both"/>
              <w:rPr>
                <w:rFonts w:cs="Arial"/>
                <w:b/>
                <w:i/>
                <w:sz w:val="22"/>
                <w:szCs w:val="22"/>
              </w:rPr>
            </w:pPr>
          </w:p>
          <w:p w14:paraId="471E9574" w14:textId="54FE6F66" w:rsidR="002061C5" w:rsidRPr="00106417" w:rsidRDefault="002061C5" w:rsidP="002061C5">
            <w:pPr>
              <w:jc w:val="both"/>
              <w:rPr>
                <w:rFonts w:cs="Arial"/>
                <w:sz w:val="22"/>
                <w:szCs w:val="22"/>
              </w:rPr>
            </w:pPr>
            <w:r w:rsidRPr="4C77AD8D">
              <w:rPr>
                <w:rFonts w:cs="Arial"/>
                <w:sz w:val="22"/>
                <w:szCs w:val="22"/>
              </w:rPr>
              <w:t>En Colombia, los topes de espectro vigentes se encuentran fijados a través del Decreto 1078 de 2015</w:t>
            </w:r>
            <w:r w:rsidR="55C84603" w:rsidRPr="4C77AD8D">
              <w:rPr>
                <w:rFonts w:cs="Arial"/>
                <w:sz w:val="22"/>
                <w:szCs w:val="22"/>
              </w:rPr>
              <w:t>,</w:t>
            </w:r>
            <w:r w:rsidRPr="4C77AD8D">
              <w:rPr>
                <w:rFonts w:cs="Arial"/>
                <w:sz w:val="22"/>
                <w:szCs w:val="22"/>
              </w:rPr>
              <w:t xml:space="preserve"> modificado por el Decreto 2194 de 2017</w:t>
            </w:r>
            <w:r w:rsidR="2AF96E6D" w:rsidRPr="4C77AD8D">
              <w:rPr>
                <w:rFonts w:cs="Arial"/>
                <w:sz w:val="22"/>
                <w:szCs w:val="22"/>
              </w:rPr>
              <w:t>,</w:t>
            </w:r>
            <w:r w:rsidRPr="4C77AD8D">
              <w:rPr>
                <w:rFonts w:cs="Arial"/>
                <w:sz w:val="22"/>
                <w:szCs w:val="22"/>
              </w:rPr>
              <w:t xml:space="preserve"> que establece un tope de espectro de 90 MHz para bandas altas </w:t>
            </w:r>
            <w:r w:rsidRPr="4C77AD8D">
              <w:rPr>
                <w:rFonts w:cs="Arial"/>
                <w:sz w:val="22"/>
                <w:szCs w:val="22"/>
                <w:lang w:val="es-MX"/>
              </w:rPr>
              <w:t>(entre 1710 MHz y 2690 MHz) y tope de espectro de 45 MHz para bandas bajas (entre 698 MHz y 960 MHz).</w:t>
            </w:r>
            <w:r w:rsidRPr="4C77AD8D">
              <w:rPr>
                <w:rFonts w:cs="Arial"/>
                <w:sz w:val="22"/>
                <w:szCs w:val="22"/>
              </w:rPr>
              <w:t xml:space="preserve"> </w:t>
            </w:r>
          </w:p>
          <w:p w14:paraId="0D0B940D" w14:textId="77777777" w:rsidR="002061C5" w:rsidRPr="00106417" w:rsidRDefault="002061C5" w:rsidP="002061C5">
            <w:pPr>
              <w:jc w:val="both"/>
              <w:rPr>
                <w:rFonts w:cs="Arial"/>
                <w:sz w:val="22"/>
                <w:szCs w:val="22"/>
              </w:rPr>
            </w:pPr>
          </w:p>
          <w:p w14:paraId="2E962700" w14:textId="77777777" w:rsidR="002061C5" w:rsidRPr="00106417" w:rsidRDefault="002061C5" w:rsidP="002061C5">
            <w:pPr>
              <w:jc w:val="both"/>
              <w:rPr>
                <w:rFonts w:cs="Arial"/>
                <w:sz w:val="22"/>
                <w:szCs w:val="22"/>
              </w:rPr>
            </w:pPr>
            <w:r w:rsidRPr="00106417">
              <w:rPr>
                <w:rFonts w:cs="Arial"/>
                <w:sz w:val="22"/>
                <w:szCs w:val="22"/>
              </w:rPr>
              <w:t>Sin embargo, estos topes ya fueron alcanzados o están cerca de ser alcanzados por algunos de los principales PRST con tenencias de espectro IMT. A continuación</w:t>
            </w:r>
            <w:r w:rsidR="005C6489" w:rsidRPr="00106417">
              <w:rPr>
                <w:rFonts w:cs="Arial"/>
                <w:sz w:val="22"/>
                <w:szCs w:val="22"/>
              </w:rPr>
              <w:t>,</w:t>
            </w:r>
            <w:r w:rsidRPr="00106417">
              <w:rPr>
                <w:rFonts w:cs="Arial"/>
                <w:sz w:val="22"/>
                <w:szCs w:val="22"/>
              </w:rPr>
              <w:t xml:space="preserve"> se presentan algunas de las razones por las cuales se hace necesaria la modificación de dichos topes: </w:t>
            </w:r>
          </w:p>
          <w:p w14:paraId="0E27B00A" w14:textId="77777777" w:rsidR="002061C5" w:rsidRPr="00106417" w:rsidRDefault="002061C5" w:rsidP="002061C5">
            <w:pPr>
              <w:jc w:val="both"/>
              <w:rPr>
                <w:rFonts w:cs="Arial"/>
                <w:sz w:val="22"/>
                <w:szCs w:val="22"/>
              </w:rPr>
            </w:pPr>
          </w:p>
          <w:p w14:paraId="72109CAF" w14:textId="66BAA362" w:rsidR="002061C5" w:rsidRPr="00106417" w:rsidRDefault="002061C5" w:rsidP="002061C5">
            <w:pPr>
              <w:pStyle w:val="Mencinsinresolver"/>
              <w:numPr>
                <w:ilvl w:val="0"/>
                <w:numId w:val="48"/>
              </w:numPr>
              <w:jc w:val="both"/>
              <w:rPr>
                <w:rFonts w:cs="Arial"/>
                <w:sz w:val="22"/>
                <w:szCs w:val="22"/>
              </w:rPr>
            </w:pPr>
            <w:r w:rsidRPr="00106417">
              <w:rPr>
                <w:rFonts w:cs="Arial"/>
                <w:sz w:val="22"/>
                <w:szCs w:val="22"/>
              </w:rPr>
              <w:t>El espectro es un recurso escaso y los PRST móviles lo requieren para suplir la demanda creciente de servicios de banda ancha</w:t>
            </w:r>
            <w:r w:rsidR="00CD7558">
              <w:rPr>
                <w:rStyle w:val="Refdenotaalpie"/>
                <w:rFonts w:cs="Arial"/>
                <w:sz w:val="22"/>
                <w:szCs w:val="22"/>
              </w:rPr>
              <w:footnoteReference w:id="7"/>
            </w:r>
            <w:r w:rsidRPr="00106417">
              <w:rPr>
                <w:rFonts w:cs="Arial"/>
                <w:sz w:val="22"/>
                <w:szCs w:val="22"/>
              </w:rPr>
              <w:t>. Para asignar más espectro</w:t>
            </w:r>
            <w:r w:rsidR="28AF1057" w:rsidRPr="00106417">
              <w:rPr>
                <w:rFonts w:cs="Arial"/>
                <w:sz w:val="22"/>
                <w:szCs w:val="22"/>
              </w:rPr>
              <w:t>,</w:t>
            </w:r>
            <w:r w:rsidRPr="00106417">
              <w:rPr>
                <w:rFonts w:cs="Arial"/>
                <w:sz w:val="22"/>
                <w:szCs w:val="22"/>
              </w:rPr>
              <w:t xml:space="preserve"> el MinTIC debe establecer procesos de asignación en los cuales se oferte el recurso disponible</w:t>
            </w:r>
            <w:r w:rsidR="00CD7558">
              <w:rPr>
                <w:rStyle w:val="Refdenotaalpie"/>
                <w:rFonts w:cs="Arial"/>
                <w:sz w:val="22"/>
                <w:szCs w:val="22"/>
              </w:rPr>
              <w:footnoteReference w:id="8"/>
            </w:r>
            <w:r w:rsidRPr="00106417">
              <w:rPr>
                <w:rFonts w:cs="Arial"/>
                <w:sz w:val="22"/>
                <w:szCs w:val="22"/>
              </w:rPr>
              <w:t xml:space="preserve"> para el desarrollo de las IMT. En este sentido, se hace necesario establecer las condiciones para permitir el acceso a este recurso de acuerdo con la necesidad de suplir dicha demanda creciente</w:t>
            </w:r>
            <w:r w:rsidR="38E5ED50" w:rsidRPr="00106417">
              <w:rPr>
                <w:rFonts w:cs="Arial"/>
                <w:sz w:val="22"/>
                <w:szCs w:val="22"/>
              </w:rPr>
              <w:t>,</w:t>
            </w:r>
            <w:r w:rsidRPr="00106417">
              <w:rPr>
                <w:rFonts w:cs="Arial"/>
                <w:sz w:val="22"/>
                <w:szCs w:val="22"/>
              </w:rPr>
              <w:t xml:space="preserve"> en cumplimiento de la ley y procurando la </w:t>
            </w:r>
            <w:r w:rsidR="005C6489" w:rsidRPr="00106417">
              <w:rPr>
                <w:rFonts w:cs="Arial"/>
                <w:sz w:val="22"/>
                <w:szCs w:val="22"/>
              </w:rPr>
              <w:t>maximización</w:t>
            </w:r>
            <w:r w:rsidRPr="00106417">
              <w:rPr>
                <w:rFonts w:cs="Arial"/>
                <w:sz w:val="22"/>
                <w:szCs w:val="22"/>
              </w:rPr>
              <w:t xml:space="preserve"> del bienestar social. </w:t>
            </w:r>
          </w:p>
          <w:p w14:paraId="60061E4C" w14:textId="77777777" w:rsidR="002061C5" w:rsidRPr="00106417" w:rsidRDefault="002061C5" w:rsidP="002061C5">
            <w:pPr>
              <w:pStyle w:val="Mencinsinresolver"/>
              <w:jc w:val="both"/>
              <w:rPr>
                <w:rFonts w:cs="Arial"/>
                <w:sz w:val="22"/>
                <w:szCs w:val="22"/>
              </w:rPr>
            </w:pPr>
          </w:p>
          <w:p w14:paraId="4764F31D" w14:textId="4260E09F" w:rsidR="002061C5" w:rsidRPr="00106417" w:rsidRDefault="002061C5" w:rsidP="002061C5">
            <w:pPr>
              <w:pStyle w:val="Mencinsinresolver"/>
              <w:numPr>
                <w:ilvl w:val="0"/>
                <w:numId w:val="48"/>
              </w:numPr>
              <w:jc w:val="both"/>
              <w:rPr>
                <w:rFonts w:cs="Arial"/>
                <w:sz w:val="22"/>
                <w:szCs w:val="22"/>
              </w:rPr>
            </w:pPr>
            <w:r w:rsidRPr="00106417">
              <w:rPr>
                <w:rFonts w:cs="Arial"/>
                <w:sz w:val="22"/>
                <w:szCs w:val="22"/>
              </w:rPr>
              <w:t>La asignación de espectro IMT incentiva la conectividad, lo cual puede contribuir al crecimiento económico por el efecto de la construcción de más redes de infraestructura, con mayor productividad y el incremento del ingreso de los hogares a través de la generación de empleo</w:t>
            </w:r>
            <w:r w:rsidR="00562F0A">
              <w:rPr>
                <w:rStyle w:val="Refdenotaalpie"/>
                <w:rFonts w:cs="Arial"/>
                <w:sz w:val="22"/>
                <w:szCs w:val="22"/>
              </w:rPr>
              <w:footnoteReference w:id="9"/>
            </w:r>
            <w:r w:rsidRPr="00106417">
              <w:rPr>
                <w:rFonts w:cs="Arial"/>
                <w:sz w:val="22"/>
                <w:szCs w:val="22"/>
              </w:rPr>
              <w:t xml:space="preserve">. De acuerdo con esto, las condiciones de acceso al recurso como los topes de espectro permitirán alinear la asignación con las </w:t>
            </w:r>
            <w:r w:rsidR="005C6489" w:rsidRPr="00106417">
              <w:rPr>
                <w:rFonts w:cs="Arial"/>
                <w:sz w:val="22"/>
                <w:szCs w:val="22"/>
              </w:rPr>
              <w:t>políticas</w:t>
            </w:r>
            <w:r w:rsidRPr="00106417">
              <w:rPr>
                <w:rFonts w:cs="Arial"/>
                <w:sz w:val="22"/>
                <w:szCs w:val="22"/>
              </w:rPr>
              <w:t xml:space="preserve"> públicas que conlleven al logro de los objetivos de crecimiento. Por lo tanto, si no se modifican los topes actuales, no se tendrá acceso a todo el espectro disponible necesario para aprovechar al máximo estos beneficios para la sociedad.</w:t>
            </w:r>
          </w:p>
          <w:p w14:paraId="44EAFD9C" w14:textId="77777777" w:rsidR="002061C5" w:rsidRPr="00106417" w:rsidRDefault="002061C5" w:rsidP="002061C5">
            <w:pPr>
              <w:pStyle w:val="Mencinsinresolver"/>
              <w:rPr>
                <w:rFonts w:cs="Arial"/>
                <w:sz w:val="22"/>
                <w:szCs w:val="22"/>
              </w:rPr>
            </w:pPr>
          </w:p>
          <w:p w14:paraId="21221846" w14:textId="77777777" w:rsidR="002061C5" w:rsidRDefault="002061C5" w:rsidP="002061C5">
            <w:pPr>
              <w:jc w:val="both"/>
              <w:rPr>
                <w:rFonts w:cs="Arial"/>
                <w:sz w:val="22"/>
                <w:szCs w:val="22"/>
                <w:lang w:val="es-CO"/>
              </w:rPr>
            </w:pPr>
            <w:r w:rsidRPr="00106417">
              <w:rPr>
                <w:rFonts w:cs="Arial"/>
                <w:sz w:val="22"/>
                <w:szCs w:val="22"/>
                <w:lang w:val="es-CO"/>
              </w:rPr>
              <w:t>El desarrollo de nuevas tecnologías disruptivas como Big Data, IoT, inteligencia artificial, entre otras, que tienen un gran potencial de desarrollo a través de las IMT</w:t>
            </w:r>
            <w:r w:rsidR="00F10BD4">
              <w:rPr>
                <w:rStyle w:val="Refdenotaalpie"/>
                <w:rFonts w:cs="Arial"/>
                <w:sz w:val="22"/>
                <w:szCs w:val="22"/>
                <w:lang w:val="es-CO"/>
              </w:rPr>
              <w:footnoteReference w:id="10"/>
            </w:r>
            <w:r w:rsidRPr="00106417">
              <w:rPr>
                <w:rFonts w:cs="Arial"/>
                <w:sz w:val="22"/>
                <w:szCs w:val="22"/>
                <w:lang w:val="es-CO"/>
              </w:rPr>
              <w:t xml:space="preserve"> permitirán el logro de las </w:t>
            </w:r>
            <w:r w:rsidR="005C6489" w:rsidRPr="00106417">
              <w:rPr>
                <w:rFonts w:cs="Arial"/>
                <w:sz w:val="22"/>
                <w:szCs w:val="22"/>
                <w:lang w:val="es-CO"/>
              </w:rPr>
              <w:t>políticas</w:t>
            </w:r>
            <w:r w:rsidRPr="00106417">
              <w:rPr>
                <w:rFonts w:cs="Arial"/>
                <w:sz w:val="22"/>
                <w:szCs w:val="22"/>
                <w:lang w:val="es-CO"/>
              </w:rPr>
              <w:t xml:space="preserve"> planteadas en el Plan Nacional de </w:t>
            </w:r>
            <w:r w:rsidR="005C6489" w:rsidRPr="00106417">
              <w:rPr>
                <w:rFonts w:cs="Arial"/>
                <w:sz w:val="22"/>
                <w:szCs w:val="22"/>
                <w:lang w:val="es-CO"/>
              </w:rPr>
              <w:t>Desarrollo</w:t>
            </w:r>
            <w:r w:rsidRPr="00106417">
              <w:rPr>
                <w:rFonts w:cs="Arial"/>
                <w:sz w:val="22"/>
                <w:szCs w:val="22"/>
                <w:lang w:val="es-CO"/>
              </w:rPr>
              <w:t xml:space="preserve"> para la transformación digital del país y los beneficios que conlleva</w:t>
            </w:r>
            <w:r w:rsidRPr="00106417">
              <w:rPr>
                <w:rStyle w:val="Ttulo"/>
                <w:rFonts w:cs="Arial"/>
                <w:sz w:val="22"/>
                <w:szCs w:val="22"/>
              </w:rPr>
              <w:footnoteReference w:id="11"/>
            </w:r>
            <w:r w:rsidRPr="00106417">
              <w:rPr>
                <w:rFonts w:cs="Arial"/>
                <w:sz w:val="22"/>
                <w:szCs w:val="22"/>
                <w:lang w:val="es-CO"/>
              </w:rPr>
              <w:t xml:space="preserve">, por lo cual  una modificación de los topes de espectro, como condición de acceso al recurso es necesaria para tener en cuenta las </w:t>
            </w:r>
            <w:r w:rsidR="005C6489" w:rsidRPr="00106417">
              <w:rPr>
                <w:rFonts w:cs="Arial"/>
                <w:sz w:val="22"/>
                <w:szCs w:val="22"/>
                <w:lang w:val="es-CO"/>
              </w:rPr>
              <w:t>características</w:t>
            </w:r>
            <w:r w:rsidRPr="00106417">
              <w:rPr>
                <w:rFonts w:cs="Arial"/>
                <w:sz w:val="22"/>
                <w:szCs w:val="22"/>
                <w:lang w:val="es-CO"/>
              </w:rPr>
              <w:t xml:space="preserve"> y requerimientos de estas nuevas tecnologías en cuanto a espectro.</w:t>
            </w:r>
          </w:p>
          <w:p w14:paraId="7BF6956A" w14:textId="77777777" w:rsidR="00A54D5A" w:rsidRDefault="00A54D5A" w:rsidP="002061C5">
            <w:pPr>
              <w:jc w:val="both"/>
              <w:rPr>
                <w:rFonts w:cs="Arial"/>
                <w:sz w:val="22"/>
                <w:szCs w:val="22"/>
                <w:lang w:val="es-CO"/>
              </w:rPr>
            </w:pPr>
          </w:p>
          <w:p w14:paraId="2B6DF0BB" w14:textId="76263A41" w:rsidR="0064664F" w:rsidRDefault="005115CF" w:rsidP="002061C5">
            <w:pPr>
              <w:jc w:val="both"/>
              <w:rPr>
                <w:rFonts w:cs="Arial"/>
                <w:sz w:val="22"/>
                <w:szCs w:val="22"/>
                <w:lang w:val="es-CO"/>
              </w:rPr>
            </w:pPr>
            <w:r>
              <w:rPr>
                <w:rFonts w:cs="Arial"/>
                <w:sz w:val="22"/>
                <w:szCs w:val="22"/>
                <w:lang w:val="es-CO"/>
              </w:rPr>
              <w:t xml:space="preserve">A partir de lo expuesto, y luego de revisar los elementos técnicos, económicos y jurídicos, el Ministerio determinó </w:t>
            </w:r>
            <w:r w:rsidR="008F4A47">
              <w:rPr>
                <w:rFonts w:cs="Arial"/>
                <w:sz w:val="22"/>
                <w:szCs w:val="22"/>
                <w:lang w:val="es-CO"/>
              </w:rPr>
              <w:t>la necesidad de actualizar los topes de espectro vigentes, así como la definición de nuevos topes de espectro para bandas de frecuencia por encima de los 3GHz y que no habían sido definidos anteriormente.</w:t>
            </w:r>
            <w:r w:rsidR="00782BE3">
              <w:rPr>
                <w:rFonts w:cs="Arial"/>
                <w:sz w:val="22"/>
                <w:szCs w:val="22"/>
                <w:lang w:val="es-CO"/>
              </w:rPr>
              <w:t xml:space="preserve"> Dicha actualización </w:t>
            </w:r>
            <w:r w:rsidR="009940BB">
              <w:rPr>
                <w:rFonts w:cs="Arial"/>
                <w:sz w:val="22"/>
                <w:szCs w:val="22"/>
                <w:lang w:val="es-CO"/>
              </w:rPr>
              <w:t xml:space="preserve">generará condiciones de certidumbre a la inversión y promoverá el cierre efectivo de la brecha digital </w:t>
            </w:r>
            <w:r w:rsidR="00194228">
              <w:rPr>
                <w:rFonts w:cs="Arial"/>
                <w:sz w:val="22"/>
                <w:szCs w:val="22"/>
                <w:lang w:val="es-CO"/>
              </w:rPr>
              <w:t>debido a la asignación y explotación de permisos de uso de espectro para IMT.</w:t>
            </w:r>
          </w:p>
          <w:p w14:paraId="6352E8FA" w14:textId="77777777" w:rsidR="008F4A47" w:rsidRDefault="008F4A47" w:rsidP="002061C5">
            <w:pPr>
              <w:jc w:val="both"/>
              <w:rPr>
                <w:rFonts w:cs="Arial"/>
                <w:sz w:val="22"/>
                <w:szCs w:val="22"/>
                <w:lang w:val="es-CO"/>
              </w:rPr>
            </w:pPr>
          </w:p>
          <w:p w14:paraId="2A97AA74" w14:textId="3D7DC470" w:rsidR="0064664F" w:rsidRPr="0064664F" w:rsidRDefault="0064664F" w:rsidP="0064664F">
            <w:pPr>
              <w:jc w:val="both"/>
              <w:rPr>
                <w:rFonts w:cs="Arial"/>
                <w:sz w:val="22"/>
                <w:szCs w:val="22"/>
                <w:lang w:val="es-CO"/>
              </w:rPr>
            </w:pPr>
            <w:r w:rsidRPr="0064664F">
              <w:rPr>
                <w:rFonts w:cs="Arial"/>
                <w:sz w:val="22"/>
                <w:szCs w:val="22"/>
                <w:lang w:val="es-CO"/>
              </w:rPr>
              <w:t xml:space="preserve">Para la definición de los nuevos rangos de bandas se tiene como base lo definido por 3GPP desde el </w:t>
            </w:r>
            <w:proofErr w:type="spellStart"/>
            <w:r w:rsidRPr="0064664F">
              <w:rPr>
                <w:rFonts w:cs="Arial"/>
                <w:sz w:val="22"/>
                <w:szCs w:val="22"/>
                <w:lang w:val="es-CO"/>
              </w:rPr>
              <w:t>Release</w:t>
            </w:r>
            <w:proofErr w:type="spellEnd"/>
            <w:r w:rsidRPr="0064664F">
              <w:rPr>
                <w:rFonts w:cs="Arial"/>
                <w:sz w:val="22"/>
                <w:szCs w:val="22"/>
                <w:lang w:val="es-CO"/>
              </w:rPr>
              <w:t xml:space="preserve"> 15, y las recomendaciones de diferentes organismos internacionales como la UIT, la GSMA, y la GSA (Asociación Mundial de Proveedores Móviles), en donde se clasifican las bandas de frecuencias en tres grandes grupos: bandas bajas menores a 1GHz, bandas medias entre 1 y 6 GHz y bandas altas mayores a 6 GHz. Ahora bien, con el fin de preservar consistencia con los rangos definidos actualmente en el país se propone la subdivisión del rango de bandas medias en dos, uno comprendido entre 1 y 3 GHz y el otro entre 3 y 6 GHz para finalmente plantear los tres rangos de bandas que se presentan a continuación:</w:t>
            </w:r>
          </w:p>
          <w:p w14:paraId="1772F0F2" w14:textId="77777777" w:rsidR="0064664F" w:rsidRPr="0064664F" w:rsidRDefault="0064664F" w:rsidP="0064664F">
            <w:pPr>
              <w:jc w:val="both"/>
              <w:rPr>
                <w:rFonts w:cs="Arial"/>
                <w:sz w:val="22"/>
                <w:szCs w:val="22"/>
                <w:lang w:val="es-CO"/>
              </w:rPr>
            </w:pPr>
          </w:p>
          <w:p w14:paraId="2F922E5C" w14:textId="77777777" w:rsidR="0064664F" w:rsidRPr="0064664F" w:rsidRDefault="0064664F" w:rsidP="0064664F">
            <w:pPr>
              <w:jc w:val="both"/>
              <w:rPr>
                <w:rFonts w:cs="Arial"/>
                <w:sz w:val="22"/>
                <w:szCs w:val="22"/>
                <w:lang w:val="es-CO"/>
              </w:rPr>
            </w:pPr>
            <w:r w:rsidRPr="0064664F">
              <w:rPr>
                <w:rFonts w:cs="Arial"/>
                <w:sz w:val="22"/>
                <w:szCs w:val="22"/>
                <w:lang w:val="es-CO"/>
              </w:rPr>
              <w:t>•</w:t>
            </w:r>
            <w:r w:rsidRPr="0064664F">
              <w:rPr>
                <w:rFonts w:cs="Arial"/>
                <w:sz w:val="22"/>
                <w:szCs w:val="22"/>
                <w:lang w:val="es-CO"/>
              </w:rPr>
              <w:tab/>
              <w:t xml:space="preserve">Bandas bajas, aquellas inferiores a 1 GHz.  </w:t>
            </w:r>
          </w:p>
          <w:p w14:paraId="16094CFA" w14:textId="77777777" w:rsidR="0064664F" w:rsidRPr="0064664F" w:rsidRDefault="0064664F" w:rsidP="0064664F">
            <w:pPr>
              <w:jc w:val="both"/>
              <w:rPr>
                <w:rFonts w:cs="Arial"/>
                <w:sz w:val="22"/>
                <w:szCs w:val="22"/>
                <w:lang w:val="es-CO"/>
              </w:rPr>
            </w:pPr>
            <w:r w:rsidRPr="0064664F">
              <w:rPr>
                <w:rFonts w:cs="Arial"/>
                <w:sz w:val="22"/>
                <w:szCs w:val="22"/>
                <w:lang w:val="es-CO"/>
              </w:rPr>
              <w:t>•</w:t>
            </w:r>
            <w:r w:rsidRPr="0064664F">
              <w:rPr>
                <w:rFonts w:cs="Arial"/>
                <w:sz w:val="22"/>
                <w:szCs w:val="22"/>
                <w:lang w:val="es-CO"/>
              </w:rPr>
              <w:tab/>
              <w:t>Bandas medias, aquellas entre 1 GHz y 3 GHz.</w:t>
            </w:r>
          </w:p>
          <w:p w14:paraId="4938B597" w14:textId="7DDAC638" w:rsidR="00A54D5A" w:rsidRDefault="0064664F" w:rsidP="0064664F">
            <w:pPr>
              <w:jc w:val="both"/>
              <w:rPr>
                <w:rFonts w:cs="Arial"/>
                <w:sz w:val="22"/>
                <w:szCs w:val="22"/>
                <w:lang w:val="es-CO"/>
              </w:rPr>
            </w:pPr>
            <w:r w:rsidRPr="0064664F">
              <w:rPr>
                <w:rFonts w:cs="Arial"/>
                <w:sz w:val="22"/>
                <w:szCs w:val="22"/>
                <w:lang w:val="es-CO"/>
              </w:rPr>
              <w:t>•</w:t>
            </w:r>
            <w:r w:rsidRPr="0064664F">
              <w:rPr>
                <w:rFonts w:cs="Arial"/>
                <w:sz w:val="22"/>
                <w:szCs w:val="22"/>
                <w:lang w:val="es-CO"/>
              </w:rPr>
              <w:tab/>
              <w:t>Bandas medias altas, aquellas entre 3 GHz y 6 GHz.</w:t>
            </w:r>
          </w:p>
          <w:p w14:paraId="4081BC7A" w14:textId="77777777" w:rsidR="00A54D5A" w:rsidRDefault="00A54D5A" w:rsidP="002061C5">
            <w:pPr>
              <w:jc w:val="both"/>
              <w:rPr>
                <w:rFonts w:cs="Arial"/>
                <w:sz w:val="22"/>
                <w:szCs w:val="22"/>
                <w:lang w:eastAsia="es-CO"/>
              </w:rPr>
            </w:pPr>
          </w:p>
          <w:p w14:paraId="4E633C8A" w14:textId="7EC0AB8A" w:rsidR="008F4A47" w:rsidRPr="00106417" w:rsidRDefault="008F4A47" w:rsidP="002061C5">
            <w:pPr>
              <w:jc w:val="both"/>
              <w:rPr>
                <w:rFonts w:cs="Arial"/>
                <w:sz w:val="22"/>
                <w:szCs w:val="22"/>
                <w:lang w:eastAsia="es-CO"/>
              </w:rPr>
            </w:pPr>
          </w:p>
        </w:tc>
      </w:tr>
      <w:tr w:rsidR="00DF60FD" w:rsidRPr="00106417" w14:paraId="4F020278" w14:textId="77777777" w:rsidTr="4C77AD8D">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75F58902" w14:textId="77777777" w:rsidR="00DF60FD" w:rsidRPr="00106417" w:rsidRDefault="00DF60FD" w:rsidP="00BF5B5E">
            <w:pPr>
              <w:numPr>
                <w:ilvl w:val="0"/>
                <w:numId w:val="44"/>
              </w:numPr>
              <w:ind w:left="494"/>
              <w:rPr>
                <w:rFonts w:cs="Arial"/>
                <w:b/>
                <w:color w:val="000000"/>
                <w:sz w:val="22"/>
                <w:szCs w:val="22"/>
              </w:rPr>
            </w:pPr>
            <w:r w:rsidRPr="00106417">
              <w:rPr>
                <w:rFonts w:cs="Arial"/>
                <w:b/>
                <w:color w:val="000000"/>
                <w:sz w:val="22"/>
                <w:szCs w:val="22"/>
              </w:rPr>
              <w:t>AMBITO DE APLICACIÓN Y SUJETO</w:t>
            </w:r>
            <w:r w:rsidR="00795C6B" w:rsidRPr="00106417">
              <w:rPr>
                <w:rFonts w:cs="Arial"/>
                <w:b/>
                <w:color w:val="000000"/>
                <w:sz w:val="22"/>
                <w:szCs w:val="22"/>
              </w:rPr>
              <w:t>S</w:t>
            </w:r>
            <w:r w:rsidRPr="00106417">
              <w:rPr>
                <w:rFonts w:cs="Arial"/>
                <w:b/>
                <w:color w:val="000000"/>
                <w:sz w:val="22"/>
                <w:szCs w:val="22"/>
              </w:rPr>
              <w:t xml:space="preserve"> A QUIEN</w:t>
            </w:r>
            <w:r w:rsidR="00795C6B" w:rsidRPr="00106417">
              <w:rPr>
                <w:rFonts w:cs="Arial"/>
                <w:b/>
                <w:color w:val="000000"/>
                <w:sz w:val="22"/>
                <w:szCs w:val="22"/>
              </w:rPr>
              <w:t>ES</w:t>
            </w:r>
            <w:r w:rsidRPr="00106417">
              <w:rPr>
                <w:rFonts w:cs="Arial"/>
                <w:b/>
                <w:color w:val="000000"/>
                <w:sz w:val="22"/>
                <w:szCs w:val="22"/>
              </w:rPr>
              <w:t xml:space="preserve"> VA DIRIGIDO</w:t>
            </w:r>
          </w:p>
          <w:p w14:paraId="63AACEDE" w14:textId="6BB12F8F" w:rsidR="00795C6B" w:rsidRPr="00106417" w:rsidRDefault="006A1B04" w:rsidP="4C77AD8D">
            <w:pPr>
              <w:jc w:val="both"/>
              <w:rPr>
                <w:rFonts w:cs="Arial"/>
                <w:color w:val="000000"/>
                <w:sz w:val="22"/>
                <w:szCs w:val="22"/>
              </w:rPr>
            </w:pPr>
            <w:r w:rsidRPr="4C77AD8D">
              <w:rPr>
                <w:rFonts w:cs="Arial"/>
                <w:color w:val="000000" w:themeColor="text1"/>
                <w:sz w:val="22"/>
                <w:szCs w:val="22"/>
              </w:rPr>
              <w:t>La presente reglamentación</w:t>
            </w:r>
            <w:r w:rsidR="0033662F" w:rsidRPr="4C77AD8D">
              <w:rPr>
                <w:rFonts w:cs="Arial"/>
                <w:color w:val="000000" w:themeColor="text1"/>
                <w:sz w:val="22"/>
                <w:szCs w:val="22"/>
              </w:rPr>
              <w:t xml:space="preserve"> aplica a</w:t>
            </w:r>
            <w:r w:rsidRPr="4C77AD8D">
              <w:rPr>
                <w:rFonts w:cs="Arial"/>
                <w:color w:val="000000" w:themeColor="text1"/>
                <w:sz w:val="22"/>
                <w:szCs w:val="22"/>
              </w:rPr>
              <w:t xml:space="preserve"> los </w:t>
            </w:r>
            <w:r w:rsidR="005C6489" w:rsidRPr="4C77AD8D">
              <w:rPr>
                <w:rFonts w:cs="Arial"/>
                <w:color w:val="000000" w:themeColor="text1"/>
                <w:sz w:val="22"/>
                <w:szCs w:val="22"/>
              </w:rPr>
              <w:t>proveedores de redes y servicios</w:t>
            </w:r>
            <w:r w:rsidR="5919A460" w:rsidRPr="4C77AD8D">
              <w:rPr>
                <w:rFonts w:cs="Arial"/>
                <w:color w:val="000000" w:themeColor="text1"/>
                <w:sz w:val="22"/>
                <w:szCs w:val="22"/>
              </w:rPr>
              <w:t xml:space="preserve"> móviles</w:t>
            </w:r>
            <w:r w:rsidR="005C6489" w:rsidRPr="4C77AD8D">
              <w:rPr>
                <w:rFonts w:cs="Arial"/>
                <w:color w:val="000000" w:themeColor="text1"/>
                <w:sz w:val="22"/>
                <w:szCs w:val="22"/>
              </w:rPr>
              <w:t xml:space="preserve"> interesados en</w:t>
            </w:r>
            <w:r w:rsidR="00106417" w:rsidRPr="4C77AD8D">
              <w:rPr>
                <w:rFonts w:cs="Arial"/>
                <w:color w:val="000000" w:themeColor="text1"/>
                <w:sz w:val="22"/>
                <w:szCs w:val="22"/>
              </w:rPr>
              <w:t xml:space="preserve"> participar en procesos de asignación de</w:t>
            </w:r>
            <w:r w:rsidR="005C6489" w:rsidRPr="4C77AD8D">
              <w:rPr>
                <w:rFonts w:cs="Arial"/>
                <w:color w:val="000000" w:themeColor="text1"/>
                <w:sz w:val="22"/>
                <w:szCs w:val="22"/>
              </w:rPr>
              <w:t xml:space="preserve"> espectro</w:t>
            </w:r>
            <w:r w:rsidR="00101CC6">
              <w:rPr>
                <w:rFonts w:cs="Arial"/>
                <w:color w:val="000000" w:themeColor="text1"/>
                <w:sz w:val="22"/>
                <w:szCs w:val="22"/>
              </w:rPr>
              <w:t xml:space="preserve"> para</w:t>
            </w:r>
            <w:r w:rsidR="005C6489" w:rsidRPr="4C77AD8D">
              <w:rPr>
                <w:rFonts w:cs="Arial"/>
                <w:color w:val="000000" w:themeColor="text1"/>
                <w:sz w:val="22"/>
                <w:szCs w:val="22"/>
              </w:rPr>
              <w:t xml:space="preserve"> IMT</w:t>
            </w:r>
          </w:p>
        </w:tc>
      </w:tr>
      <w:tr w:rsidR="00DF60FD" w:rsidRPr="00106417" w14:paraId="3AB34E56" w14:textId="77777777" w:rsidTr="4C77AD8D">
        <w:trPr>
          <w:trHeight w:val="278"/>
        </w:trPr>
        <w:tc>
          <w:tcPr>
            <w:tcW w:w="10774" w:type="dxa"/>
            <w:gridSpan w:val="3"/>
            <w:tcBorders>
              <w:bottom w:val="single" w:sz="4" w:space="0" w:color="auto"/>
            </w:tcBorders>
            <w:shd w:val="clear" w:color="auto" w:fill="FFFFFF" w:themeFill="background1"/>
            <w:vAlign w:val="center"/>
          </w:tcPr>
          <w:p w14:paraId="1682656E" w14:textId="77777777" w:rsidR="00D05B67" w:rsidRPr="00106417" w:rsidRDefault="00DF60FD" w:rsidP="00BF5B5E">
            <w:pPr>
              <w:numPr>
                <w:ilvl w:val="0"/>
                <w:numId w:val="44"/>
              </w:numPr>
              <w:rPr>
                <w:rFonts w:cs="Arial"/>
                <w:b/>
                <w:color w:val="000000"/>
                <w:sz w:val="22"/>
                <w:szCs w:val="22"/>
              </w:rPr>
            </w:pPr>
            <w:r w:rsidRPr="00106417">
              <w:rPr>
                <w:rFonts w:cs="Arial"/>
                <w:b/>
                <w:color w:val="000000"/>
                <w:sz w:val="22"/>
                <w:szCs w:val="22"/>
              </w:rPr>
              <w:t>VIABILIDAD JURÍDICA</w:t>
            </w:r>
          </w:p>
          <w:p w14:paraId="4B94D5A5" w14:textId="77777777" w:rsidR="000A44C9" w:rsidRPr="00106417" w:rsidRDefault="000A44C9" w:rsidP="000A44C9">
            <w:pPr>
              <w:ind w:left="720"/>
              <w:rPr>
                <w:rFonts w:cs="Arial"/>
                <w:b/>
                <w:color w:val="000000"/>
                <w:sz w:val="22"/>
                <w:szCs w:val="22"/>
              </w:rPr>
            </w:pPr>
          </w:p>
          <w:p w14:paraId="021C38EA" w14:textId="77777777" w:rsidR="00680F46" w:rsidRPr="00106417" w:rsidRDefault="00680F46" w:rsidP="000A44C9">
            <w:pPr>
              <w:numPr>
                <w:ilvl w:val="1"/>
                <w:numId w:val="44"/>
              </w:numPr>
              <w:jc w:val="both"/>
              <w:rPr>
                <w:rFonts w:cs="Arial"/>
                <w:sz w:val="22"/>
                <w:szCs w:val="22"/>
                <w:lang w:val="es-CO" w:eastAsia="es-CO"/>
              </w:rPr>
            </w:pPr>
            <w:r w:rsidRPr="00106417">
              <w:rPr>
                <w:rFonts w:cs="Arial"/>
                <w:sz w:val="22"/>
                <w:szCs w:val="22"/>
                <w:lang w:val="es-CO" w:eastAsia="es-CO"/>
              </w:rPr>
              <w:t>Análisis de las normas que otorgan la competencia para la expedición del proyecto normativo</w:t>
            </w:r>
          </w:p>
          <w:p w14:paraId="3DEEC669" w14:textId="77777777" w:rsidR="00147826" w:rsidRPr="00106417" w:rsidRDefault="00147826" w:rsidP="00147826">
            <w:pPr>
              <w:jc w:val="both"/>
              <w:rPr>
                <w:rFonts w:cs="Arial"/>
                <w:sz w:val="22"/>
                <w:szCs w:val="22"/>
                <w:lang w:val="es-CO" w:eastAsia="es-CO"/>
              </w:rPr>
            </w:pPr>
          </w:p>
          <w:p w14:paraId="08F02BBF" w14:textId="77777777" w:rsidR="00863789" w:rsidRPr="00106417" w:rsidRDefault="00863789" w:rsidP="00147826">
            <w:pPr>
              <w:contextualSpacing/>
              <w:jc w:val="both"/>
              <w:rPr>
                <w:rFonts w:cs="Arial"/>
                <w:sz w:val="22"/>
                <w:szCs w:val="22"/>
                <w:lang w:val="es-CO"/>
              </w:rPr>
            </w:pPr>
            <w:r w:rsidRPr="00106417">
              <w:rPr>
                <w:rFonts w:cs="Arial"/>
                <w:sz w:val="22"/>
                <w:szCs w:val="22"/>
                <w:lang w:val="es-CO"/>
              </w:rPr>
              <w:t>La reglamentación que otorga la competencia para la expedición del acto administrativo está contenida en las siguientes normas:</w:t>
            </w:r>
          </w:p>
          <w:p w14:paraId="3656B9AB" w14:textId="77777777" w:rsidR="00863789" w:rsidRPr="00106417" w:rsidRDefault="00863789" w:rsidP="00147826">
            <w:pPr>
              <w:contextualSpacing/>
              <w:jc w:val="both"/>
              <w:rPr>
                <w:rFonts w:cs="Arial"/>
                <w:sz w:val="22"/>
                <w:szCs w:val="22"/>
              </w:rPr>
            </w:pPr>
          </w:p>
          <w:p w14:paraId="40E0F303" w14:textId="77777777" w:rsidR="00147826" w:rsidRPr="00106417" w:rsidRDefault="00147826" w:rsidP="00147826">
            <w:pPr>
              <w:jc w:val="both"/>
              <w:rPr>
                <w:rFonts w:cs="Arial"/>
                <w:sz w:val="22"/>
                <w:szCs w:val="22"/>
                <w:lang w:val="es-CO"/>
              </w:rPr>
            </w:pPr>
            <w:r w:rsidRPr="00106417">
              <w:rPr>
                <w:rFonts w:cs="Arial"/>
                <w:sz w:val="22"/>
                <w:szCs w:val="22"/>
                <w:lang w:val="es-CO"/>
              </w:rPr>
              <w:t xml:space="preserve">El numeral 11 del artículo 189 de la Constitución Política de Colombia estableció que corresponde al </w:t>
            </w:r>
            <w:proofErr w:type="gramStart"/>
            <w:r w:rsidRPr="00106417">
              <w:rPr>
                <w:rFonts w:cs="Arial"/>
                <w:sz w:val="22"/>
                <w:szCs w:val="22"/>
                <w:lang w:val="es-CO"/>
              </w:rPr>
              <w:t>Presidente</w:t>
            </w:r>
            <w:proofErr w:type="gramEnd"/>
            <w:r w:rsidRPr="00106417">
              <w:rPr>
                <w:rFonts w:cs="Arial"/>
                <w:sz w:val="22"/>
                <w:szCs w:val="22"/>
                <w:lang w:val="es-CO"/>
              </w:rPr>
              <w:t xml:space="preserve"> de la República como Jefe de Estado, Jefe del Gobierno y Suprema Autoridad Administrativa, ejercer la potestad reglamentaria, mediante la expedición de los decretos, resoluciones y órdenes necesarios para la cumplida ejecución de las leyes.</w:t>
            </w:r>
          </w:p>
          <w:p w14:paraId="45FB0818" w14:textId="77777777" w:rsidR="000A44C9" w:rsidRPr="00106417" w:rsidRDefault="000A44C9" w:rsidP="000A44C9">
            <w:pPr>
              <w:jc w:val="both"/>
              <w:rPr>
                <w:rFonts w:cs="Arial"/>
                <w:sz w:val="22"/>
                <w:szCs w:val="22"/>
                <w:lang w:val="es-CO" w:eastAsia="es-CO"/>
              </w:rPr>
            </w:pPr>
          </w:p>
          <w:p w14:paraId="3DC78DE5" w14:textId="77777777" w:rsidR="000A44C9" w:rsidRPr="00106417" w:rsidRDefault="00147826" w:rsidP="000A44C9">
            <w:pPr>
              <w:jc w:val="both"/>
              <w:rPr>
                <w:rFonts w:cs="Arial"/>
                <w:sz w:val="22"/>
                <w:szCs w:val="22"/>
                <w:lang w:val="es-CO"/>
              </w:rPr>
            </w:pPr>
            <w:r w:rsidRPr="00106417">
              <w:rPr>
                <w:rFonts w:cs="Arial"/>
                <w:sz w:val="22"/>
                <w:szCs w:val="22"/>
                <w:lang w:val="es-CO"/>
              </w:rPr>
              <w:t xml:space="preserve">Así mismo, </w:t>
            </w:r>
            <w:r w:rsidR="000A44C9" w:rsidRPr="00106417">
              <w:rPr>
                <w:rFonts w:cs="Arial"/>
                <w:sz w:val="22"/>
                <w:szCs w:val="22"/>
                <w:lang w:val="es-CO"/>
              </w:rPr>
              <w:t xml:space="preserve">el numeral sexto del artículo 18 de la Ley 1341 de 2009 dispone que es función del Ministerio de Tecnologías de la Información y las Comunicaciones planear, asignar, gestionar y controlar el espectro radioeléctrico para fomentar la competencia, el pluralismo informativo, el acceso no discriminatorio y evitar prácticas monopolísticas. </w:t>
            </w:r>
          </w:p>
          <w:p w14:paraId="049F31CB" w14:textId="77777777" w:rsidR="000A44C9" w:rsidRPr="00106417" w:rsidRDefault="000A44C9" w:rsidP="000A44C9">
            <w:pPr>
              <w:jc w:val="both"/>
              <w:rPr>
                <w:rFonts w:cs="Arial"/>
                <w:sz w:val="22"/>
                <w:szCs w:val="22"/>
                <w:lang w:val="es-CO"/>
              </w:rPr>
            </w:pPr>
          </w:p>
          <w:p w14:paraId="31649BD3" w14:textId="77777777" w:rsidR="000A44C9" w:rsidRPr="00106417" w:rsidRDefault="00147826" w:rsidP="000A44C9">
            <w:pPr>
              <w:jc w:val="both"/>
              <w:rPr>
                <w:rFonts w:cs="Arial"/>
                <w:sz w:val="22"/>
                <w:szCs w:val="22"/>
                <w:lang w:val="es-CO"/>
              </w:rPr>
            </w:pPr>
            <w:r w:rsidRPr="00106417">
              <w:rPr>
                <w:rFonts w:cs="Arial"/>
                <w:sz w:val="22"/>
                <w:szCs w:val="22"/>
                <w:lang w:val="es-CO"/>
              </w:rPr>
              <w:t>También</w:t>
            </w:r>
            <w:r w:rsidR="000A44C9" w:rsidRPr="00106417">
              <w:rPr>
                <w:rFonts w:cs="Arial"/>
                <w:sz w:val="22"/>
                <w:szCs w:val="22"/>
                <w:lang w:val="es-CO"/>
              </w:rPr>
              <w:t xml:space="preserve"> el artículo 1, el numeral 7 del artículo 4 y el artículo 11 de la Ley 1341 de 2009, disponen que el espectro, como recurso escaso, debe ser usado de manera eficiente. En este sentido, el espectro radioeléctrico debe ponerse a disposición para atender las demandas crecientes y, además, para generar condiciones que incentiven el aprovechamiento del recurso.</w:t>
            </w:r>
          </w:p>
          <w:p w14:paraId="53128261" w14:textId="77777777" w:rsidR="000A44C9" w:rsidRPr="00106417" w:rsidRDefault="000A44C9" w:rsidP="000A44C9">
            <w:pPr>
              <w:jc w:val="both"/>
              <w:rPr>
                <w:rFonts w:cs="Arial"/>
                <w:sz w:val="22"/>
                <w:szCs w:val="22"/>
                <w:lang w:val="es-CO" w:eastAsia="es-CO"/>
              </w:rPr>
            </w:pPr>
          </w:p>
          <w:p w14:paraId="40BBD3E7" w14:textId="77777777" w:rsidR="0033662F" w:rsidRPr="00106417" w:rsidRDefault="00680F46" w:rsidP="00741BA1">
            <w:pPr>
              <w:numPr>
                <w:ilvl w:val="1"/>
                <w:numId w:val="44"/>
              </w:numPr>
              <w:jc w:val="both"/>
              <w:rPr>
                <w:rFonts w:cs="Arial"/>
                <w:sz w:val="22"/>
                <w:szCs w:val="22"/>
                <w:lang w:val="es-CO" w:eastAsia="es-CO"/>
              </w:rPr>
            </w:pPr>
            <w:r w:rsidRPr="00106417">
              <w:rPr>
                <w:rFonts w:cs="Arial"/>
                <w:sz w:val="22"/>
                <w:szCs w:val="22"/>
                <w:lang w:val="es-CO" w:eastAsia="es-CO"/>
              </w:rPr>
              <w:t>Vigencia de la ley o norma reglamentada o desarrollada</w:t>
            </w:r>
          </w:p>
          <w:p w14:paraId="62486C05" w14:textId="77777777" w:rsidR="0051684F" w:rsidRPr="00106417" w:rsidRDefault="0051684F" w:rsidP="0051684F">
            <w:pPr>
              <w:ind w:left="720"/>
              <w:jc w:val="both"/>
              <w:rPr>
                <w:rFonts w:cs="Arial"/>
                <w:sz w:val="22"/>
                <w:szCs w:val="22"/>
                <w:lang w:val="es-CO" w:eastAsia="es-CO"/>
              </w:rPr>
            </w:pPr>
          </w:p>
          <w:p w14:paraId="7DEC6F39" w14:textId="77777777" w:rsidR="00863789" w:rsidRPr="00106417" w:rsidRDefault="0051684F" w:rsidP="00863789">
            <w:pPr>
              <w:jc w:val="both"/>
              <w:rPr>
                <w:rFonts w:cs="Arial"/>
                <w:sz w:val="22"/>
                <w:szCs w:val="22"/>
                <w:lang w:val="es-CO"/>
              </w:rPr>
            </w:pPr>
            <w:r w:rsidRPr="00106417">
              <w:rPr>
                <w:rFonts w:cs="Arial"/>
                <w:sz w:val="22"/>
                <w:szCs w:val="22"/>
                <w:lang w:val="es-CO"/>
              </w:rPr>
              <w:t>La disposición constitucional y lo establecido en la Ley 1341 de 2009, modificada en algunos apartes por la Ley 1978 de 2019 que sustentan la expedición del proyecto normativo se encuentran actualmente vigentes y no han tenido limitaciones vía jurisprudencia.</w:t>
            </w:r>
          </w:p>
          <w:p w14:paraId="4101652C" w14:textId="77777777" w:rsidR="00863789" w:rsidRPr="00106417" w:rsidRDefault="00863789" w:rsidP="00863789">
            <w:pPr>
              <w:jc w:val="both"/>
              <w:rPr>
                <w:rFonts w:cs="Arial"/>
                <w:sz w:val="22"/>
                <w:szCs w:val="22"/>
                <w:lang w:val="es-CO" w:eastAsia="es-CO"/>
              </w:rPr>
            </w:pPr>
          </w:p>
          <w:p w14:paraId="2FF7040A" w14:textId="77777777" w:rsidR="00741BA1" w:rsidRPr="00106417" w:rsidRDefault="00680F46" w:rsidP="00741BA1">
            <w:pPr>
              <w:numPr>
                <w:ilvl w:val="1"/>
                <w:numId w:val="44"/>
              </w:numPr>
              <w:jc w:val="both"/>
              <w:rPr>
                <w:rFonts w:cs="Arial"/>
                <w:sz w:val="22"/>
                <w:szCs w:val="22"/>
                <w:lang w:val="es-CO" w:eastAsia="es-CO"/>
              </w:rPr>
            </w:pPr>
            <w:r w:rsidRPr="00106417">
              <w:rPr>
                <w:rFonts w:cs="Arial"/>
                <w:sz w:val="22"/>
                <w:szCs w:val="22"/>
                <w:lang w:val="es-CO" w:eastAsia="es-CO"/>
              </w:rPr>
              <w:t>Disposiciones derogadas, subrogadas, modificadas, adicionadas o sustituidas</w:t>
            </w:r>
          </w:p>
          <w:p w14:paraId="29D6B04F" w14:textId="77777777" w:rsidR="00680F46" w:rsidRPr="00106417" w:rsidRDefault="00680F46" w:rsidP="00680F46">
            <w:pPr>
              <w:jc w:val="both"/>
              <w:rPr>
                <w:rFonts w:cs="Arial"/>
                <w:sz w:val="22"/>
                <w:szCs w:val="22"/>
                <w:lang w:val="es-CO" w:eastAsia="es-CO"/>
              </w:rPr>
            </w:pPr>
            <w:r w:rsidRPr="00106417">
              <w:rPr>
                <w:rFonts w:cs="Arial"/>
                <w:sz w:val="22"/>
                <w:szCs w:val="22"/>
                <w:lang w:val="es-CO" w:eastAsia="es-CO"/>
              </w:rPr>
              <w:t xml:space="preserve"> </w:t>
            </w:r>
          </w:p>
          <w:p w14:paraId="0A51157F" w14:textId="77777777" w:rsidR="0051684F" w:rsidRPr="00106417" w:rsidRDefault="004C08BB" w:rsidP="00680F46">
            <w:pPr>
              <w:jc w:val="both"/>
              <w:rPr>
                <w:rFonts w:cs="Arial"/>
                <w:sz w:val="22"/>
                <w:szCs w:val="22"/>
                <w:lang w:val="es-CO"/>
              </w:rPr>
            </w:pPr>
            <w:r w:rsidRPr="00106417">
              <w:rPr>
                <w:rFonts w:cs="Arial"/>
                <w:sz w:val="22"/>
                <w:szCs w:val="22"/>
                <w:lang w:val="es-CO" w:eastAsia="es-CO"/>
              </w:rPr>
              <w:t>E</w:t>
            </w:r>
            <w:r w:rsidRPr="00106417">
              <w:rPr>
                <w:rFonts w:cs="Arial"/>
                <w:sz w:val="22"/>
                <w:szCs w:val="22"/>
                <w:lang w:val="es-CO"/>
              </w:rPr>
              <w:t>l proyecto de Decreto modifica el artículo 2.2.2.4.1 del Decreto Único Reglamentario del Sector de Tecnologías de la Información y las Comunicaciones, Decreto 1078 de 2015.</w:t>
            </w:r>
          </w:p>
          <w:p w14:paraId="4B99056E" w14:textId="77777777" w:rsidR="0051684F" w:rsidRPr="00106417" w:rsidRDefault="0051684F" w:rsidP="00680F46">
            <w:pPr>
              <w:jc w:val="both"/>
              <w:rPr>
                <w:rFonts w:cs="Arial"/>
                <w:sz w:val="22"/>
                <w:szCs w:val="22"/>
                <w:lang w:val="es-CO" w:eastAsia="es-CO"/>
              </w:rPr>
            </w:pPr>
          </w:p>
          <w:p w14:paraId="4D18EF58" w14:textId="77777777" w:rsidR="00680F46" w:rsidRPr="00106417" w:rsidRDefault="00680F46" w:rsidP="00A951E5">
            <w:pPr>
              <w:numPr>
                <w:ilvl w:val="1"/>
                <w:numId w:val="44"/>
              </w:numPr>
              <w:jc w:val="both"/>
              <w:rPr>
                <w:rFonts w:cs="Arial"/>
                <w:sz w:val="22"/>
                <w:szCs w:val="22"/>
                <w:lang w:val="es-CO" w:eastAsia="es-CO"/>
              </w:rPr>
            </w:pPr>
            <w:r w:rsidRPr="00106417">
              <w:rPr>
                <w:rFonts w:cs="Arial"/>
                <w:sz w:val="22"/>
                <w:szCs w:val="22"/>
                <w:lang w:val="es-CO" w:eastAsia="es-CO"/>
              </w:rPr>
              <w:t>Revisión y análisis de la jurisprudencia que tenga impacto o sea relevante para la expedición del proyecto normativo (órganos de cierre de cada jurisdicción)</w:t>
            </w:r>
          </w:p>
          <w:p w14:paraId="1299C43A" w14:textId="77777777" w:rsidR="007747B0" w:rsidRPr="00106417" w:rsidRDefault="007747B0" w:rsidP="00A951E5">
            <w:pPr>
              <w:jc w:val="both"/>
              <w:rPr>
                <w:rFonts w:cs="Arial"/>
                <w:sz w:val="22"/>
                <w:szCs w:val="22"/>
                <w:lang w:val="es-CO" w:eastAsia="es-CO"/>
              </w:rPr>
            </w:pPr>
          </w:p>
          <w:p w14:paraId="1DE0CFD3" w14:textId="77777777" w:rsidR="00A951E5" w:rsidRPr="00106417" w:rsidRDefault="007747B0" w:rsidP="00A951E5">
            <w:pPr>
              <w:jc w:val="both"/>
              <w:rPr>
                <w:rFonts w:cs="Arial"/>
                <w:sz w:val="22"/>
                <w:szCs w:val="22"/>
                <w:lang w:val="es-CO" w:eastAsia="es-CO"/>
              </w:rPr>
            </w:pPr>
            <w:r w:rsidRPr="00106417">
              <w:rPr>
                <w:rFonts w:cs="Arial"/>
                <w:sz w:val="22"/>
                <w:szCs w:val="22"/>
                <w:lang w:val="es-CO" w:eastAsia="es-CO"/>
              </w:rPr>
              <w:t>A la fecha no hay precedentes jurisprudenciales que puedan tener impacto o ser relevantes para la expedición del acto administrativo.</w:t>
            </w:r>
          </w:p>
          <w:p w14:paraId="4DDBEF00" w14:textId="77777777" w:rsidR="00A951E5" w:rsidRPr="00106417" w:rsidRDefault="00A951E5" w:rsidP="00A951E5">
            <w:pPr>
              <w:jc w:val="both"/>
              <w:rPr>
                <w:rFonts w:cs="Arial"/>
                <w:sz w:val="22"/>
                <w:szCs w:val="22"/>
                <w:lang w:val="es-CO" w:eastAsia="es-CO"/>
              </w:rPr>
            </w:pPr>
          </w:p>
          <w:p w14:paraId="6D6A7214" w14:textId="77777777" w:rsidR="00680F46" w:rsidRPr="00106417" w:rsidRDefault="00680F46" w:rsidP="001A6980">
            <w:pPr>
              <w:numPr>
                <w:ilvl w:val="1"/>
                <w:numId w:val="44"/>
              </w:numPr>
              <w:jc w:val="both"/>
              <w:rPr>
                <w:rFonts w:cs="Arial"/>
                <w:sz w:val="22"/>
                <w:szCs w:val="22"/>
                <w:lang w:val="es-CO" w:eastAsia="es-CO"/>
              </w:rPr>
            </w:pPr>
            <w:r w:rsidRPr="00106417">
              <w:rPr>
                <w:rFonts w:cs="Arial"/>
                <w:sz w:val="22"/>
                <w:szCs w:val="22"/>
                <w:lang w:val="es-CO" w:eastAsia="es-CO"/>
              </w:rPr>
              <w:t xml:space="preserve">Circunstancias jurídicas adicionales </w:t>
            </w:r>
          </w:p>
          <w:p w14:paraId="3461D779" w14:textId="77777777" w:rsidR="001A6980" w:rsidRPr="00106417" w:rsidRDefault="001A6980" w:rsidP="001A6980">
            <w:pPr>
              <w:ind w:left="720"/>
              <w:jc w:val="both"/>
              <w:rPr>
                <w:rFonts w:cs="Arial"/>
                <w:sz w:val="22"/>
                <w:szCs w:val="22"/>
                <w:lang w:val="es-CO" w:eastAsia="es-CO"/>
              </w:rPr>
            </w:pPr>
          </w:p>
          <w:p w14:paraId="084B0F99" w14:textId="77777777" w:rsidR="001A6980" w:rsidRPr="00106417" w:rsidRDefault="001A6980" w:rsidP="001A6980">
            <w:pPr>
              <w:jc w:val="both"/>
              <w:rPr>
                <w:rFonts w:cs="Arial"/>
                <w:sz w:val="22"/>
                <w:szCs w:val="22"/>
                <w:lang w:val="es-CO" w:eastAsia="es-CO"/>
              </w:rPr>
            </w:pPr>
            <w:r w:rsidRPr="00106417">
              <w:rPr>
                <w:rFonts w:cs="Arial"/>
                <w:sz w:val="22"/>
                <w:szCs w:val="22"/>
                <w:lang w:val="es-CO" w:eastAsia="es-CO"/>
              </w:rPr>
              <w:t>No se identificó ninguna otra circunstancia jurídica que pueda ser relevante para la expedición del proyecto de resolución en comento</w:t>
            </w:r>
          </w:p>
          <w:p w14:paraId="3CF2D8B6" w14:textId="77777777" w:rsidR="00795C6B" w:rsidRPr="00106417" w:rsidRDefault="00795C6B" w:rsidP="00A3270F">
            <w:pPr>
              <w:jc w:val="both"/>
              <w:rPr>
                <w:rFonts w:cs="Arial"/>
                <w:sz w:val="22"/>
                <w:szCs w:val="22"/>
                <w:lang w:val="es-CO" w:eastAsia="es-CO"/>
              </w:rPr>
            </w:pPr>
          </w:p>
        </w:tc>
      </w:tr>
      <w:tr w:rsidR="00DF60FD" w:rsidRPr="00106417" w14:paraId="2ED4E180" w14:textId="77777777" w:rsidTr="4C77AD8D">
        <w:trPr>
          <w:trHeight w:val="567"/>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7160C" w14:textId="77777777" w:rsidR="00C01099" w:rsidRPr="00106417" w:rsidRDefault="00DF60FD" w:rsidP="00BF5B5E">
            <w:pPr>
              <w:numPr>
                <w:ilvl w:val="0"/>
                <w:numId w:val="45"/>
              </w:numPr>
              <w:rPr>
                <w:rFonts w:cs="Arial"/>
                <w:b/>
                <w:color w:val="000000"/>
                <w:sz w:val="22"/>
                <w:szCs w:val="22"/>
              </w:rPr>
            </w:pPr>
            <w:r w:rsidRPr="00106417">
              <w:rPr>
                <w:rFonts w:cs="Arial"/>
                <w:b/>
                <w:color w:val="000000"/>
                <w:sz w:val="22"/>
                <w:szCs w:val="22"/>
              </w:rPr>
              <w:t xml:space="preserve">IMPACTO ECONÓMICO </w:t>
            </w:r>
          </w:p>
          <w:p w14:paraId="0B7CD723" w14:textId="77777777" w:rsidR="00843EFF" w:rsidRPr="00106417" w:rsidRDefault="00C01099" w:rsidP="00BF5B5E">
            <w:pPr>
              <w:rPr>
                <w:rFonts w:cs="Arial"/>
              </w:rPr>
            </w:pPr>
            <w:r w:rsidRPr="00106417">
              <w:rPr>
                <w:rFonts w:cs="Arial"/>
                <w:color w:val="000000"/>
                <w:sz w:val="22"/>
                <w:szCs w:val="22"/>
              </w:rPr>
              <w:t>La implementación del Decreto que se pretende expedir no implica erogación alguna p</w:t>
            </w:r>
            <w:r w:rsidR="00410F12" w:rsidRPr="00106417">
              <w:rPr>
                <w:rFonts w:cs="Arial"/>
                <w:color w:val="000000"/>
                <w:sz w:val="22"/>
                <w:szCs w:val="22"/>
              </w:rPr>
              <w:t>or parte d</w:t>
            </w:r>
            <w:r w:rsidRPr="00106417">
              <w:rPr>
                <w:rFonts w:cs="Arial"/>
                <w:color w:val="000000"/>
                <w:sz w:val="22"/>
                <w:szCs w:val="22"/>
              </w:rPr>
              <w:t>el Estado</w:t>
            </w:r>
          </w:p>
        </w:tc>
      </w:tr>
      <w:tr w:rsidR="00DF60FD" w:rsidRPr="00106417" w14:paraId="4B9232E4" w14:textId="77777777" w:rsidTr="4C77AD8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9EDE8" w14:textId="77777777" w:rsidR="00BA2AF8" w:rsidRPr="00106417" w:rsidRDefault="00795C6B" w:rsidP="00BF5B5E">
            <w:pPr>
              <w:numPr>
                <w:ilvl w:val="0"/>
                <w:numId w:val="45"/>
              </w:numPr>
              <w:rPr>
                <w:rFonts w:cs="Arial"/>
                <w:b/>
                <w:color w:val="000000"/>
                <w:sz w:val="22"/>
                <w:szCs w:val="22"/>
              </w:rPr>
            </w:pPr>
            <w:r w:rsidRPr="00106417">
              <w:rPr>
                <w:rFonts w:cs="Arial"/>
                <w:b/>
                <w:color w:val="000000"/>
                <w:sz w:val="22"/>
                <w:szCs w:val="22"/>
              </w:rPr>
              <w:t xml:space="preserve">VIABILIDAD O </w:t>
            </w:r>
            <w:r w:rsidR="00DF60FD" w:rsidRPr="00106417">
              <w:rPr>
                <w:rFonts w:cs="Arial"/>
                <w:b/>
                <w:color w:val="000000"/>
                <w:sz w:val="22"/>
                <w:szCs w:val="22"/>
              </w:rPr>
              <w:t xml:space="preserve">DISPONIBILIDAD PRESUPUESTAL </w:t>
            </w:r>
          </w:p>
          <w:p w14:paraId="7FF2FBA3" w14:textId="77777777" w:rsidR="00696582" w:rsidRPr="00106417" w:rsidRDefault="00BA2AF8" w:rsidP="00BF5B5E">
            <w:pPr>
              <w:rPr>
                <w:rFonts w:cs="Arial"/>
                <w:sz w:val="22"/>
                <w:szCs w:val="22"/>
                <w:lang w:eastAsia="es-CO"/>
              </w:rPr>
            </w:pPr>
            <w:r w:rsidRPr="00106417">
              <w:rPr>
                <w:rFonts w:cs="Arial"/>
                <w:color w:val="000000"/>
                <w:sz w:val="22"/>
                <w:szCs w:val="22"/>
              </w:rPr>
              <w:t xml:space="preserve">En razón a que la expedición del decreto objeto de esta memoria justificativa no genera erogación alguna de recursos por parte del Estado, no se requiere disponibilidad presupuestal para su implementación. </w:t>
            </w:r>
          </w:p>
        </w:tc>
      </w:tr>
      <w:tr w:rsidR="00DF60FD" w:rsidRPr="00106417" w14:paraId="60D861E0" w14:textId="77777777" w:rsidTr="4C77AD8D">
        <w:trPr>
          <w:trHeight w:val="453"/>
        </w:trPr>
        <w:tc>
          <w:tcPr>
            <w:tcW w:w="10774" w:type="dxa"/>
            <w:gridSpan w:val="3"/>
            <w:tcBorders>
              <w:top w:val="single" w:sz="4" w:space="0" w:color="auto"/>
              <w:bottom w:val="single" w:sz="4" w:space="0" w:color="auto"/>
            </w:tcBorders>
            <w:shd w:val="clear" w:color="auto" w:fill="FFFFFF" w:themeFill="background1"/>
            <w:vAlign w:val="center"/>
          </w:tcPr>
          <w:p w14:paraId="19BF57B9" w14:textId="77777777" w:rsidR="00BA2AF8" w:rsidRPr="00106417" w:rsidRDefault="00DF60FD" w:rsidP="00BF5B5E">
            <w:pPr>
              <w:numPr>
                <w:ilvl w:val="0"/>
                <w:numId w:val="45"/>
              </w:numPr>
              <w:jc w:val="both"/>
              <w:rPr>
                <w:rFonts w:cs="Arial"/>
                <w:b/>
                <w:color w:val="000000"/>
                <w:sz w:val="22"/>
                <w:szCs w:val="22"/>
              </w:rPr>
            </w:pPr>
            <w:r w:rsidRPr="00106417">
              <w:rPr>
                <w:rFonts w:cs="Arial"/>
                <w:b/>
                <w:color w:val="000000"/>
                <w:sz w:val="22"/>
                <w:szCs w:val="22"/>
              </w:rPr>
              <w:t xml:space="preserve"> IMPACTO MEDIOAMBIENTAL O SOBRE EL PATRIMONIO CULTURAL DE LA NACIÓN </w:t>
            </w:r>
          </w:p>
          <w:p w14:paraId="7F18C3C1" w14:textId="77777777" w:rsidR="00696582" w:rsidRPr="00106417" w:rsidRDefault="00BA2AF8" w:rsidP="00BF5B5E">
            <w:pPr>
              <w:jc w:val="both"/>
              <w:rPr>
                <w:rFonts w:cs="Arial"/>
                <w:b/>
                <w:color w:val="000000"/>
                <w:sz w:val="22"/>
                <w:szCs w:val="22"/>
              </w:rPr>
            </w:pPr>
            <w:r w:rsidRPr="00106417">
              <w:rPr>
                <w:rFonts w:cs="Arial"/>
                <w:color w:val="000000"/>
                <w:sz w:val="22"/>
                <w:szCs w:val="22"/>
              </w:rPr>
              <w:t xml:space="preserve">La norma por expedir no genera impacto medioambiental o sobre el patrimonio cultural de la Nación. </w:t>
            </w:r>
          </w:p>
        </w:tc>
      </w:tr>
      <w:tr w:rsidR="00DF60FD" w:rsidRPr="00106417" w14:paraId="1566CFBC" w14:textId="77777777" w:rsidTr="4C77AD8D">
        <w:trPr>
          <w:trHeight w:val="317"/>
        </w:trPr>
        <w:tc>
          <w:tcPr>
            <w:tcW w:w="10774" w:type="dxa"/>
            <w:gridSpan w:val="3"/>
            <w:tcBorders>
              <w:top w:val="single" w:sz="4" w:space="0" w:color="auto"/>
              <w:bottom w:val="single" w:sz="4" w:space="0" w:color="auto"/>
            </w:tcBorders>
            <w:shd w:val="clear" w:color="auto" w:fill="FFFFFF" w:themeFill="background1"/>
            <w:vAlign w:val="center"/>
          </w:tcPr>
          <w:p w14:paraId="1F95DEA9" w14:textId="77777777" w:rsidR="00D05B67" w:rsidRPr="00106417" w:rsidRDefault="00D05B67" w:rsidP="00BF5B5E">
            <w:pPr>
              <w:numPr>
                <w:ilvl w:val="0"/>
                <w:numId w:val="45"/>
              </w:numPr>
              <w:jc w:val="both"/>
              <w:rPr>
                <w:rFonts w:cs="Arial"/>
                <w:sz w:val="22"/>
                <w:szCs w:val="22"/>
              </w:rPr>
            </w:pPr>
            <w:r w:rsidRPr="00106417">
              <w:rPr>
                <w:rFonts w:cs="Arial"/>
                <w:b/>
                <w:sz w:val="22"/>
                <w:szCs w:val="22"/>
              </w:rPr>
              <w:t>ESTUDIOS TÉCNICOS QUE SUSTENTEN EL PROYECTO NORMATIVO</w:t>
            </w:r>
            <w:r w:rsidRPr="00106417">
              <w:rPr>
                <w:rFonts w:cs="Arial"/>
                <w:sz w:val="22"/>
                <w:szCs w:val="22"/>
              </w:rPr>
              <w:t xml:space="preserve"> (Si cuenta con ellos)</w:t>
            </w:r>
            <w:r w:rsidR="00696582" w:rsidRPr="00106417">
              <w:rPr>
                <w:rFonts w:cs="Arial"/>
                <w:sz w:val="22"/>
                <w:szCs w:val="22"/>
              </w:rPr>
              <w:t xml:space="preserve"> </w:t>
            </w:r>
          </w:p>
        </w:tc>
      </w:tr>
      <w:tr w:rsidR="00DF60FD" w:rsidRPr="00106417" w14:paraId="76051988" w14:textId="77777777" w:rsidTr="4C77AD8D">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7496FAD0" w14:textId="77777777" w:rsidR="00843EFF" w:rsidRPr="00106417" w:rsidRDefault="005C6489" w:rsidP="00BF5B5E">
            <w:pPr>
              <w:rPr>
                <w:rFonts w:cs="Arial"/>
                <w:color w:val="000000"/>
                <w:sz w:val="22"/>
                <w:szCs w:val="22"/>
              </w:rPr>
            </w:pPr>
            <w:r w:rsidRPr="00106417">
              <w:rPr>
                <w:rFonts w:cs="Arial"/>
                <w:color w:val="000000"/>
                <w:sz w:val="22"/>
                <w:szCs w:val="22"/>
              </w:rPr>
              <w:t>Se adjunta documento de soporte</w:t>
            </w:r>
          </w:p>
        </w:tc>
      </w:tr>
      <w:tr w:rsidR="00DF60FD" w:rsidRPr="00106417" w14:paraId="0FB78278" w14:textId="77777777" w:rsidTr="4C77AD8D">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FC39945" w14:textId="77777777" w:rsidR="00DF60FD" w:rsidRPr="00106417" w:rsidRDefault="00DF60FD" w:rsidP="00BF5B5E">
            <w:pPr>
              <w:jc w:val="center"/>
              <w:rPr>
                <w:rFonts w:cs="Arial"/>
                <w:sz w:val="22"/>
                <w:szCs w:val="22"/>
                <w:u w:val="single"/>
              </w:rPr>
            </w:pPr>
          </w:p>
        </w:tc>
      </w:tr>
      <w:tr w:rsidR="00DF60FD" w:rsidRPr="00106417" w14:paraId="4F9287A5" w14:textId="77777777" w:rsidTr="4C77AD8D">
        <w:trPr>
          <w:trHeight w:val="416"/>
        </w:trPr>
        <w:tc>
          <w:tcPr>
            <w:tcW w:w="10774" w:type="dxa"/>
            <w:gridSpan w:val="3"/>
            <w:tcBorders>
              <w:top w:val="single" w:sz="4" w:space="0" w:color="auto"/>
              <w:bottom w:val="single" w:sz="4" w:space="0" w:color="auto"/>
            </w:tcBorders>
            <w:shd w:val="clear" w:color="auto" w:fill="5B8AFF"/>
            <w:vAlign w:val="center"/>
          </w:tcPr>
          <w:p w14:paraId="4C55EDF4" w14:textId="77777777" w:rsidR="00F55DC4" w:rsidRPr="00106417" w:rsidRDefault="00DF60FD" w:rsidP="00BF5B5E">
            <w:pPr>
              <w:jc w:val="center"/>
              <w:rPr>
                <w:rFonts w:cs="Arial"/>
                <w:color w:val="FFFFFF"/>
                <w:sz w:val="22"/>
                <w:szCs w:val="22"/>
              </w:rPr>
            </w:pPr>
            <w:r w:rsidRPr="00106417">
              <w:rPr>
                <w:rFonts w:cs="Arial"/>
                <w:b/>
                <w:color w:val="FFFFFF"/>
                <w:sz w:val="22"/>
                <w:szCs w:val="22"/>
              </w:rPr>
              <w:t>ANEXOS</w:t>
            </w:r>
            <w:r w:rsidR="00D05B67" w:rsidRPr="00106417">
              <w:rPr>
                <w:rFonts w:cs="Arial"/>
                <w:b/>
                <w:color w:val="FFFFFF"/>
                <w:sz w:val="22"/>
                <w:szCs w:val="22"/>
              </w:rPr>
              <w:t>:</w:t>
            </w:r>
            <w:r w:rsidR="00696582" w:rsidRPr="00106417">
              <w:rPr>
                <w:rFonts w:cs="Arial"/>
                <w:color w:val="FFFFFF"/>
                <w:sz w:val="22"/>
                <w:szCs w:val="22"/>
              </w:rPr>
              <w:t xml:space="preserve"> </w:t>
            </w:r>
          </w:p>
        </w:tc>
      </w:tr>
      <w:tr w:rsidR="00D05B67" w:rsidRPr="00106417" w14:paraId="428D08BF" w14:textId="77777777" w:rsidTr="4C77AD8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1B774D58" w14:textId="77777777" w:rsidR="00D05B67" w:rsidRPr="00106417" w:rsidRDefault="00D05B67" w:rsidP="00BF5B5E">
            <w:pPr>
              <w:jc w:val="both"/>
              <w:rPr>
                <w:rFonts w:cs="Arial"/>
                <w:i/>
                <w:color w:val="808080"/>
                <w:sz w:val="22"/>
                <w:szCs w:val="22"/>
              </w:rPr>
            </w:pPr>
            <w:r w:rsidRPr="00106417">
              <w:rPr>
                <w:rFonts w:cs="Arial"/>
                <w:sz w:val="22"/>
                <w:szCs w:val="22"/>
              </w:rPr>
              <w:t xml:space="preserve">Certificación de cumplimiento de requisitos de consulta, publicidad y de incorporación en la agenda regulatoria </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562CB0E" w14:textId="77777777" w:rsidR="00D05B67" w:rsidRPr="00106417" w:rsidRDefault="00D05B67" w:rsidP="00526A43">
            <w:pPr>
              <w:jc w:val="center"/>
              <w:rPr>
                <w:rFonts w:cs="Arial"/>
                <w:i/>
                <w:color w:val="808080"/>
                <w:sz w:val="22"/>
                <w:szCs w:val="22"/>
              </w:rPr>
            </w:pPr>
          </w:p>
        </w:tc>
      </w:tr>
      <w:tr w:rsidR="00D05B67" w:rsidRPr="00106417" w14:paraId="19508C8F" w14:textId="77777777" w:rsidTr="4C77AD8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338BDC4D" w14:textId="77777777" w:rsidR="00D05B67" w:rsidRPr="00106417" w:rsidRDefault="00D05B67" w:rsidP="00BF5B5E">
            <w:pPr>
              <w:jc w:val="both"/>
              <w:rPr>
                <w:rFonts w:cs="Arial"/>
                <w:i/>
                <w:color w:val="808080"/>
                <w:sz w:val="22"/>
                <w:szCs w:val="22"/>
              </w:rPr>
            </w:pPr>
            <w:r w:rsidRPr="00106417">
              <w:rPr>
                <w:rFonts w:cs="Arial"/>
                <w:sz w:val="22"/>
                <w:szCs w:val="22"/>
              </w:rPr>
              <w:t>Concepto</w:t>
            </w:r>
            <w:r w:rsidR="005F30C3" w:rsidRPr="00106417">
              <w:rPr>
                <w:rFonts w:cs="Arial"/>
                <w:sz w:val="22"/>
                <w:szCs w:val="22"/>
              </w:rPr>
              <w:t>(s)</w:t>
            </w:r>
            <w:r w:rsidRPr="00106417">
              <w:rPr>
                <w:rFonts w:cs="Arial"/>
                <w:sz w:val="22"/>
                <w:szCs w:val="22"/>
              </w:rPr>
              <w:t xml:space="preserve"> de Min</w:t>
            </w:r>
            <w:r w:rsidR="005F30C3" w:rsidRPr="00106417">
              <w:rPr>
                <w:rFonts w:cs="Arial"/>
                <w:sz w:val="22"/>
                <w:szCs w:val="22"/>
              </w:rPr>
              <w:t>isterio de</w:t>
            </w:r>
            <w:r w:rsidRPr="00106417">
              <w:rPr>
                <w:rFonts w:cs="Arial"/>
                <w:sz w:val="22"/>
                <w:szCs w:val="22"/>
              </w:rPr>
              <w:t xml:space="preserve"> Comercio</w:t>
            </w:r>
            <w:r w:rsidR="005F30C3" w:rsidRPr="00106417">
              <w:rPr>
                <w:rFonts w:cs="Arial"/>
                <w:sz w:val="22"/>
                <w:szCs w:val="22"/>
              </w:rPr>
              <w:t>, Industria y Turismo</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34CE0A41" w14:textId="77777777" w:rsidR="00D05B67" w:rsidRPr="00106417" w:rsidRDefault="00D05B67" w:rsidP="00526A43">
            <w:pPr>
              <w:jc w:val="center"/>
              <w:rPr>
                <w:rFonts w:cs="Arial"/>
                <w:sz w:val="22"/>
                <w:szCs w:val="22"/>
              </w:rPr>
            </w:pPr>
          </w:p>
        </w:tc>
      </w:tr>
      <w:tr w:rsidR="005F30C3" w:rsidRPr="00106417" w14:paraId="58414C52" w14:textId="77777777" w:rsidTr="4C77AD8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7178C0F9" w14:textId="77777777" w:rsidR="005F30C3" w:rsidRPr="00106417" w:rsidRDefault="005F30C3" w:rsidP="00BF5B5E">
            <w:pPr>
              <w:jc w:val="both"/>
              <w:rPr>
                <w:rFonts w:cs="Arial"/>
                <w:i/>
                <w:color w:val="808080"/>
                <w:sz w:val="22"/>
                <w:szCs w:val="22"/>
              </w:rPr>
            </w:pPr>
            <w:r w:rsidRPr="00106417">
              <w:rPr>
                <w:rFonts w:cs="Arial"/>
                <w:sz w:val="22"/>
                <w:szCs w:val="22"/>
              </w:rPr>
              <w:t>Informe de observaciones y respuestas</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2EBF3C5" w14:textId="77777777" w:rsidR="005F30C3" w:rsidRPr="00106417" w:rsidRDefault="005F30C3" w:rsidP="00526A43">
            <w:pPr>
              <w:jc w:val="center"/>
              <w:rPr>
                <w:rFonts w:cs="Arial"/>
                <w:sz w:val="22"/>
                <w:szCs w:val="22"/>
              </w:rPr>
            </w:pPr>
          </w:p>
        </w:tc>
      </w:tr>
      <w:tr w:rsidR="005F30C3" w:rsidRPr="00106417" w14:paraId="376EB69F" w14:textId="77777777" w:rsidTr="4C77AD8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2D916184" w14:textId="77777777" w:rsidR="005F30C3" w:rsidRPr="00106417" w:rsidRDefault="005F30C3" w:rsidP="00BF5B5E">
            <w:pPr>
              <w:jc w:val="both"/>
              <w:rPr>
                <w:rFonts w:cs="Arial"/>
                <w:i/>
                <w:color w:val="808080"/>
                <w:sz w:val="22"/>
                <w:szCs w:val="22"/>
              </w:rPr>
            </w:pPr>
            <w:r w:rsidRPr="00106417">
              <w:rPr>
                <w:rFonts w:cs="Arial"/>
                <w:sz w:val="22"/>
                <w:szCs w:val="22"/>
              </w:rPr>
              <w:t>Concepto de Abogacía de la Competencia de la Superintendencia de Industria y Comercio</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D98A12B" w14:textId="77777777" w:rsidR="005F30C3" w:rsidRPr="00106417" w:rsidRDefault="005F30C3" w:rsidP="00BF5B5E">
            <w:pPr>
              <w:jc w:val="both"/>
              <w:rPr>
                <w:rFonts w:cs="Arial"/>
                <w:sz w:val="22"/>
                <w:szCs w:val="22"/>
              </w:rPr>
            </w:pPr>
          </w:p>
        </w:tc>
      </w:tr>
      <w:tr w:rsidR="005F30C3" w:rsidRPr="00106417" w14:paraId="7834186A" w14:textId="77777777" w:rsidTr="4C77AD8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35403707" w14:textId="77777777" w:rsidR="005F30C3" w:rsidRPr="00106417" w:rsidRDefault="005F30C3" w:rsidP="00BF5B5E">
            <w:pPr>
              <w:jc w:val="both"/>
              <w:rPr>
                <w:rFonts w:cs="Arial"/>
                <w:sz w:val="22"/>
                <w:szCs w:val="22"/>
              </w:rPr>
            </w:pPr>
            <w:r w:rsidRPr="00106417">
              <w:rPr>
                <w:rFonts w:cs="Arial"/>
                <w:sz w:val="22"/>
                <w:szCs w:val="22"/>
              </w:rPr>
              <w:t>Concepto de aprobación nuevos trámites del Departamento Administrativo de la Función Pública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2946DB82" w14:textId="77777777" w:rsidR="005F30C3" w:rsidRPr="00106417" w:rsidRDefault="005F30C3" w:rsidP="00BF5B5E">
            <w:pPr>
              <w:jc w:val="both"/>
              <w:rPr>
                <w:rFonts w:cs="Arial"/>
                <w:sz w:val="22"/>
                <w:szCs w:val="22"/>
              </w:rPr>
            </w:pPr>
          </w:p>
        </w:tc>
      </w:tr>
      <w:tr w:rsidR="005F30C3" w:rsidRPr="00106417" w14:paraId="3F1153C4" w14:textId="77777777" w:rsidTr="4C77AD8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033F51D6" w14:textId="77777777" w:rsidR="005F30C3" w:rsidRPr="00106417" w:rsidRDefault="005F30C3" w:rsidP="00BF5B5E">
            <w:pPr>
              <w:jc w:val="both"/>
              <w:rPr>
                <w:rFonts w:cs="Arial"/>
                <w:sz w:val="22"/>
                <w:szCs w:val="22"/>
              </w:rPr>
            </w:pPr>
            <w:r w:rsidRPr="00106417">
              <w:rPr>
                <w:rFonts w:cs="Arial"/>
                <w:sz w:val="22"/>
                <w:szCs w:val="22"/>
              </w:rPr>
              <w:t xml:space="preserve">Otro </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33096EF0" w14:textId="77777777" w:rsidR="005F30C3" w:rsidRPr="00106417" w:rsidRDefault="00106417" w:rsidP="00106417">
            <w:pPr>
              <w:jc w:val="center"/>
              <w:rPr>
                <w:rFonts w:cs="Arial"/>
                <w:sz w:val="22"/>
                <w:szCs w:val="22"/>
              </w:rPr>
            </w:pPr>
            <w:r>
              <w:rPr>
                <w:rFonts w:cs="Arial"/>
                <w:sz w:val="22"/>
                <w:szCs w:val="22"/>
              </w:rPr>
              <w:t>X</w:t>
            </w:r>
          </w:p>
        </w:tc>
      </w:tr>
    </w:tbl>
    <w:p w14:paraId="5997CC1D" w14:textId="77777777" w:rsidR="00301DC2" w:rsidRPr="00106417" w:rsidRDefault="00301DC2" w:rsidP="00587695">
      <w:pPr>
        <w:ind w:right="-377"/>
        <w:jc w:val="both"/>
        <w:rPr>
          <w:rFonts w:cs="Arial"/>
          <w:sz w:val="22"/>
          <w:szCs w:val="22"/>
        </w:rPr>
      </w:pPr>
    </w:p>
    <w:p w14:paraId="68943B0B" w14:textId="77777777" w:rsidR="00B66D03" w:rsidRPr="00106417" w:rsidRDefault="000B30A6" w:rsidP="00C55FE8">
      <w:pPr>
        <w:ind w:left="-567" w:right="-377"/>
        <w:jc w:val="both"/>
        <w:rPr>
          <w:rFonts w:cs="Arial"/>
          <w:b/>
          <w:sz w:val="22"/>
          <w:szCs w:val="22"/>
        </w:rPr>
      </w:pPr>
      <w:r w:rsidRPr="00106417">
        <w:rPr>
          <w:rFonts w:cs="Arial"/>
          <w:b/>
          <w:sz w:val="22"/>
          <w:szCs w:val="22"/>
        </w:rPr>
        <w:t>Aprobó</w:t>
      </w:r>
      <w:r w:rsidR="00CB4D37" w:rsidRPr="00106417">
        <w:rPr>
          <w:rFonts w:cs="Arial"/>
          <w:b/>
          <w:sz w:val="22"/>
          <w:szCs w:val="22"/>
        </w:rPr>
        <w:t>:</w:t>
      </w:r>
    </w:p>
    <w:p w14:paraId="110FFD37" w14:textId="77777777" w:rsidR="00DF5093" w:rsidRPr="00106417" w:rsidRDefault="00DF5093" w:rsidP="00C55FE8">
      <w:pPr>
        <w:ind w:left="-567" w:right="-377" w:firstLine="283"/>
        <w:jc w:val="both"/>
        <w:rPr>
          <w:rFonts w:cs="Arial"/>
          <w:b/>
          <w:sz w:val="22"/>
          <w:szCs w:val="22"/>
        </w:rPr>
      </w:pPr>
    </w:p>
    <w:p w14:paraId="6B699379" w14:textId="77777777" w:rsidR="00BF5B5E" w:rsidRPr="00106417" w:rsidRDefault="00BF5B5E" w:rsidP="00C55FE8">
      <w:pPr>
        <w:ind w:left="-567" w:right="-377" w:firstLine="283"/>
        <w:jc w:val="both"/>
        <w:rPr>
          <w:rFonts w:cs="Arial"/>
          <w:b/>
          <w:sz w:val="22"/>
          <w:szCs w:val="22"/>
        </w:rPr>
      </w:pPr>
    </w:p>
    <w:p w14:paraId="3FE9F23F" w14:textId="77777777" w:rsidR="00DF5093" w:rsidRPr="00106417" w:rsidRDefault="00DF5093" w:rsidP="00C55FE8">
      <w:pPr>
        <w:ind w:left="-567" w:right="-377" w:firstLine="283"/>
        <w:jc w:val="both"/>
        <w:rPr>
          <w:rFonts w:cs="Arial"/>
          <w:b/>
          <w:sz w:val="22"/>
          <w:szCs w:val="22"/>
        </w:rPr>
      </w:pPr>
    </w:p>
    <w:p w14:paraId="60B92F9E" w14:textId="77777777" w:rsidR="00DF5093" w:rsidRPr="00106417" w:rsidRDefault="00DF5093" w:rsidP="00C55FE8">
      <w:pPr>
        <w:ind w:left="-567" w:right="-377"/>
        <w:jc w:val="both"/>
        <w:rPr>
          <w:rFonts w:cs="Arial"/>
          <w:b/>
          <w:bCs/>
          <w:sz w:val="22"/>
          <w:szCs w:val="22"/>
        </w:rPr>
      </w:pPr>
      <w:r w:rsidRPr="00106417">
        <w:rPr>
          <w:rFonts w:cs="Arial"/>
          <w:b/>
          <w:bCs/>
          <w:sz w:val="22"/>
          <w:szCs w:val="22"/>
        </w:rPr>
        <w:t>MANUEL DOMINGO ABELLO ÁLVAREZ</w:t>
      </w:r>
    </w:p>
    <w:p w14:paraId="7DDB25BE" w14:textId="77777777" w:rsidR="00DF5093" w:rsidRPr="00106417" w:rsidRDefault="00DF5093" w:rsidP="00C55FE8">
      <w:pPr>
        <w:ind w:left="-567" w:right="-377"/>
        <w:jc w:val="both"/>
        <w:rPr>
          <w:rFonts w:cs="Arial"/>
          <w:b/>
          <w:bCs/>
          <w:sz w:val="22"/>
          <w:szCs w:val="22"/>
        </w:rPr>
      </w:pPr>
      <w:r w:rsidRPr="00106417">
        <w:rPr>
          <w:rFonts w:cs="Arial"/>
          <w:b/>
          <w:bCs/>
          <w:sz w:val="22"/>
          <w:szCs w:val="22"/>
        </w:rPr>
        <w:t>Director Jurídico</w:t>
      </w:r>
    </w:p>
    <w:p w14:paraId="1F72F646" w14:textId="77777777" w:rsidR="00DF5093" w:rsidRPr="00106417" w:rsidRDefault="00DF5093" w:rsidP="00C55FE8">
      <w:pPr>
        <w:ind w:left="-567" w:right="-377"/>
        <w:jc w:val="both"/>
        <w:rPr>
          <w:rFonts w:cs="Arial"/>
          <w:b/>
          <w:bCs/>
          <w:sz w:val="22"/>
          <w:szCs w:val="22"/>
        </w:rPr>
      </w:pPr>
    </w:p>
    <w:p w14:paraId="08CE6F91" w14:textId="77777777" w:rsidR="00DF5093" w:rsidRPr="00106417" w:rsidRDefault="00DF5093" w:rsidP="00C55FE8">
      <w:pPr>
        <w:ind w:left="-567" w:right="-377"/>
        <w:jc w:val="both"/>
        <w:rPr>
          <w:rFonts w:cs="Arial"/>
          <w:b/>
          <w:bCs/>
          <w:sz w:val="22"/>
          <w:szCs w:val="22"/>
        </w:rPr>
      </w:pPr>
    </w:p>
    <w:p w14:paraId="61CDCEAD" w14:textId="77777777" w:rsidR="00EE758E" w:rsidRPr="00106417" w:rsidRDefault="00EE758E" w:rsidP="00C55FE8">
      <w:pPr>
        <w:ind w:left="-567" w:right="-377"/>
        <w:jc w:val="both"/>
        <w:rPr>
          <w:rFonts w:cs="Arial"/>
          <w:b/>
          <w:bCs/>
          <w:sz w:val="22"/>
          <w:szCs w:val="22"/>
        </w:rPr>
      </w:pPr>
    </w:p>
    <w:p w14:paraId="6BB9E253" w14:textId="77777777" w:rsidR="00DF5093" w:rsidRPr="00106417" w:rsidRDefault="00DF5093" w:rsidP="00C55FE8">
      <w:pPr>
        <w:ind w:left="-567" w:right="-377"/>
        <w:jc w:val="both"/>
        <w:rPr>
          <w:rFonts w:cs="Arial"/>
          <w:b/>
          <w:bCs/>
          <w:sz w:val="22"/>
          <w:szCs w:val="22"/>
        </w:rPr>
      </w:pPr>
    </w:p>
    <w:p w14:paraId="4BB31AF8" w14:textId="22E44174" w:rsidR="00DF5093" w:rsidRPr="00106417" w:rsidRDefault="00D30CA5" w:rsidP="00C55FE8">
      <w:pPr>
        <w:ind w:left="-567" w:right="-377"/>
        <w:jc w:val="both"/>
        <w:rPr>
          <w:rFonts w:cs="Arial"/>
          <w:b/>
          <w:bCs/>
          <w:sz w:val="22"/>
          <w:szCs w:val="22"/>
        </w:rPr>
      </w:pPr>
      <w:r>
        <w:rPr>
          <w:rFonts w:cs="Arial"/>
          <w:b/>
          <w:bCs/>
          <w:sz w:val="22"/>
          <w:szCs w:val="22"/>
        </w:rPr>
        <w:t>TALIA MEJÍA AHCAR</w:t>
      </w:r>
    </w:p>
    <w:p w14:paraId="5D1CE8B7" w14:textId="6A422164" w:rsidR="00014D67" w:rsidRPr="00106417" w:rsidRDefault="00DF5093" w:rsidP="00C55FE8">
      <w:pPr>
        <w:ind w:left="-567" w:right="-377"/>
        <w:jc w:val="both"/>
        <w:rPr>
          <w:rFonts w:cs="Arial"/>
          <w:sz w:val="22"/>
          <w:szCs w:val="22"/>
        </w:rPr>
      </w:pPr>
      <w:r w:rsidRPr="00106417">
        <w:rPr>
          <w:rFonts w:cs="Arial"/>
          <w:b/>
          <w:bCs/>
          <w:sz w:val="22"/>
          <w:szCs w:val="22"/>
        </w:rPr>
        <w:t>Direc</w:t>
      </w:r>
      <w:r w:rsidR="0042770B">
        <w:rPr>
          <w:rFonts w:cs="Arial"/>
          <w:b/>
          <w:bCs/>
          <w:sz w:val="22"/>
          <w:szCs w:val="22"/>
        </w:rPr>
        <w:t xml:space="preserve">tora </w:t>
      </w:r>
      <w:r w:rsidRPr="00106417">
        <w:rPr>
          <w:rFonts w:cs="Arial"/>
          <w:b/>
          <w:bCs/>
          <w:sz w:val="22"/>
          <w:szCs w:val="22"/>
        </w:rPr>
        <w:t>de Industria de Comunicaciones</w:t>
      </w:r>
    </w:p>
    <w:sectPr w:rsidR="00014D67" w:rsidRPr="00106417" w:rsidSect="00DC1FED">
      <w:headerReference w:type="default" r:id="rId10"/>
      <w:footerReference w:type="default" r:id="rId11"/>
      <w:headerReference w:type="first" r:id="rId12"/>
      <w:type w:val="continuous"/>
      <w:pgSz w:w="12240" w:h="15840" w:code="1"/>
      <w:pgMar w:top="1417" w:right="1701" w:bottom="1417" w:left="1701"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240450" w16cex:dateUtc="2021-03-19T18:01:00Z"/>
  <w16cex:commentExtensible w16cex:durableId="27CF8A31" w16cex:dateUtc="2021-03-19T18:04:00Z"/>
  <w16cex:commentExtensible w16cex:durableId="6508CD4E" w16cex:dateUtc="2021-03-19T18:05:00Z"/>
  <w16cex:commentExtensible w16cex:durableId="785E7F74" w16cex:dateUtc="2021-03-19T17:57:00Z"/>
  <w16cex:commentExtensible w16cex:durableId="084E9948" w16cex:dateUtc="2021-03-19T18:07:00Z"/>
  <w16cex:commentExtensible w16cex:durableId="15A66B96" w16cex:dateUtc="2021-03-19T18:12:00Z"/>
  <w16cex:commentExtensible w16cex:durableId="33145E4C" w16cex:dateUtc="2021-03-19T1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4729D" w14:textId="77777777" w:rsidR="009E499C" w:rsidRDefault="009E499C">
      <w:r>
        <w:separator/>
      </w:r>
    </w:p>
  </w:endnote>
  <w:endnote w:type="continuationSeparator" w:id="0">
    <w:p w14:paraId="11C1773A" w14:textId="77777777" w:rsidR="009E499C" w:rsidRDefault="009E499C">
      <w:r>
        <w:continuationSeparator/>
      </w:r>
    </w:p>
  </w:endnote>
  <w:endnote w:type="continuationNotice" w:id="1">
    <w:p w14:paraId="3157A34E" w14:textId="77777777" w:rsidR="00D30CA5" w:rsidRDefault="00D30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77777777" w:rsidR="00836C6A" w:rsidRDefault="00836C6A">
    <w:pPr>
      <w:pStyle w:val="PiedepginaCar"/>
      <w:jc w:val="right"/>
    </w:pPr>
    <w:r>
      <w:fldChar w:fldCharType="begin"/>
    </w:r>
    <w:r w:rsidR="00A120D6">
      <w:instrText>PAGE</w:instrText>
    </w:r>
    <w:r>
      <w:instrText xml:space="preserve">   \* MERGEFORMAT</w:instrText>
    </w:r>
    <w:r>
      <w:fldChar w:fldCharType="separate"/>
    </w:r>
    <w:r w:rsidR="00446B00">
      <w:rPr>
        <w:noProof/>
      </w:rPr>
      <w:t>2</w:t>
    </w:r>
    <w:r>
      <w:fldChar w:fldCharType="end"/>
    </w:r>
  </w:p>
  <w:p w14:paraId="6DFB9E20" w14:textId="77777777" w:rsidR="00F07A7D" w:rsidRPr="0084294E" w:rsidRDefault="00F07A7D" w:rsidP="00FA4A9E">
    <w:pPr>
      <w:pStyle w:val="PiedepginaCar"/>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DB047" w14:textId="77777777" w:rsidR="009E499C" w:rsidRDefault="009E499C">
      <w:r>
        <w:separator/>
      </w:r>
    </w:p>
  </w:footnote>
  <w:footnote w:type="continuationSeparator" w:id="0">
    <w:p w14:paraId="473B1919" w14:textId="77777777" w:rsidR="009E499C" w:rsidRDefault="009E499C">
      <w:r>
        <w:continuationSeparator/>
      </w:r>
    </w:p>
  </w:footnote>
  <w:footnote w:type="continuationNotice" w:id="1">
    <w:p w14:paraId="1BD411B8" w14:textId="77777777" w:rsidR="00D30CA5" w:rsidRDefault="00D30CA5"/>
  </w:footnote>
  <w:footnote w:id="2">
    <w:p w14:paraId="5043CB0F" w14:textId="77777777" w:rsidR="002061C5" w:rsidRPr="00113497" w:rsidRDefault="002061C5" w:rsidP="002061C5">
      <w:pPr>
        <w:pStyle w:val="Refdenotaalpie"/>
        <w:rPr>
          <w:rFonts w:ascii="Arial Narrow" w:hAnsi="Arial Narrow"/>
        </w:rPr>
      </w:pPr>
      <w:r w:rsidRPr="00113497">
        <w:rPr>
          <w:rStyle w:val="Ttulo"/>
          <w:rFonts w:ascii="Arial Narrow" w:hAnsi="Arial Narrow"/>
        </w:rPr>
        <w:footnoteRef/>
      </w:r>
      <w:r w:rsidR="4C77AD8D" w:rsidRPr="00113497">
        <w:rPr>
          <w:rFonts w:ascii="Arial Narrow" w:hAnsi="Arial Narrow"/>
        </w:rPr>
        <w:t xml:space="preserve"> Decreto 2194 de 2017: Tope de espectro de 90MHz para bandas altas </w:t>
      </w:r>
      <w:r w:rsidR="4C77AD8D" w:rsidRPr="00113497">
        <w:rPr>
          <w:rFonts w:ascii="Arial Narrow" w:hAnsi="Arial Narrow"/>
          <w:lang w:val="es-MX"/>
        </w:rPr>
        <w:t>(Entre 1710 MHz y 2690 MHz) y tope de espectro de 45MHz para bandas bajas (Entre 698 MHz y 960 MHz).</w:t>
      </w:r>
    </w:p>
  </w:footnote>
  <w:footnote w:id="3">
    <w:p w14:paraId="0E14F81C" w14:textId="77777777" w:rsidR="00194228" w:rsidRPr="00113497" w:rsidRDefault="00F11F2B" w:rsidP="002061C5">
      <w:pPr>
        <w:pStyle w:val="Refdenotaalpie"/>
        <w:jc w:val="both"/>
        <w:rPr>
          <w:rFonts w:ascii="Arial Narrow" w:hAnsi="Arial Narrow" w:cs="Arial"/>
        </w:rPr>
      </w:pPr>
      <w:r>
        <w:rPr>
          <w:rStyle w:val="Refdenotaalpie"/>
        </w:rPr>
        <w:footnoteRef/>
      </w:r>
    </w:p>
    <w:p w14:paraId="7829E590" w14:textId="4088F667" w:rsidR="00F11F2B" w:rsidRPr="00F11F2B" w:rsidRDefault="00F11F2B">
      <w:pPr>
        <w:pStyle w:val="Textonotapie"/>
        <w:rPr>
          <w:lang w:val="es-MX"/>
        </w:rPr>
      </w:pPr>
      <w:r>
        <w:t xml:space="preserve"> </w:t>
      </w:r>
      <w:r w:rsidRPr="008E6754">
        <w:rPr>
          <w:rFonts w:ascii="Arial Narrow" w:hAnsi="Arial Narrow"/>
        </w:rPr>
        <w:t xml:space="preserve">The mobile economy. Latin América and the </w:t>
      </w:r>
      <w:r>
        <w:rPr>
          <w:rFonts w:ascii="Arial Narrow" w:hAnsi="Arial Narrow"/>
        </w:rPr>
        <w:t>C</w:t>
      </w:r>
      <w:r w:rsidRPr="008E6754">
        <w:rPr>
          <w:rFonts w:ascii="Arial Narrow" w:hAnsi="Arial Narrow"/>
        </w:rPr>
        <w:t>aribbean. (2018).</w:t>
      </w:r>
    </w:p>
  </w:footnote>
  <w:footnote w:id="4">
    <w:p w14:paraId="1CB63E28" w14:textId="4D7709BA" w:rsidR="00194228" w:rsidRPr="008E6754" w:rsidRDefault="00F11F2B" w:rsidP="002061C5">
      <w:pPr>
        <w:pStyle w:val="Refdenotaalpie"/>
        <w:jc w:val="both"/>
        <w:rPr>
          <w:rFonts w:ascii="Arial Narrow" w:hAnsi="Arial Narrow"/>
        </w:rPr>
      </w:pPr>
      <w:r>
        <w:rPr>
          <w:rStyle w:val="Refdenotaalpie"/>
        </w:rPr>
        <w:footnoteRef/>
      </w:r>
      <w:r>
        <w:t xml:space="preserve"> </w:t>
      </w:r>
      <w:proofErr w:type="spellStart"/>
      <w:r>
        <w:rPr>
          <w:rFonts w:ascii="Arial Narrow" w:hAnsi="Arial Narrow" w:cs="Arial"/>
        </w:rPr>
        <w:t>Extraído</w:t>
      </w:r>
      <w:proofErr w:type="spellEnd"/>
      <w:r>
        <w:rPr>
          <w:rFonts w:ascii="Arial Narrow" w:hAnsi="Arial Narrow" w:cs="Arial"/>
        </w:rPr>
        <w:t xml:space="preserve"> de </w:t>
      </w:r>
      <w:hyperlink r:id="rId1" w:history="1">
        <w:r w:rsidRPr="00AD2E8D">
          <w:rPr>
            <w:rStyle w:val="Hipervnculo"/>
            <w:rFonts w:ascii="Arial Narrow" w:hAnsi="Arial Narrow"/>
          </w:rPr>
          <w:t>https://www.idc.c</w:t>
        </w:r>
        <w:r w:rsidRPr="00AD2E8D">
          <w:rPr>
            <w:rStyle w:val="Hipervnculo"/>
            <w:rFonts w:ascii="Arial Narrow" w:hAnsi="Arial Narrow"/>
          </w:rPr>
          <w:t>o</w:t>
        </w:r>
        <w:r w:rsidRPr="00AD2E8D">
          <w:rPr>
            <w:rStyle w:val="Hipervnculo"/>
            <w:rFonts w:ascii="Arial Narrow" w:hAnsi="Arial Narrow"/>
          </w:rPr>
          <w:t>m/getdoc.jsp?containerId=prUS44432518</w:t>
        </w:r>
      </w:hyperlink>
    </w:p>
    <w:p w14:paraId="2D506BAE" w14:textId="1EE7DFFF" w:rsidR="00F11F2B" w:rsidRPr="00F11F2B" w:rsidRDefault="00F11F2B">
      <w:pPr>
        <w:pStyle w:val="Textonotapie"/>
        <w:rPr>
          <w:lang w:val="es-MX"/>
        </w:rPr>
      </w:pPr>
      <w:r>
        <w:rPr>
          <w:rFonts w:ascii="Arial Narrow" w:hAnsi="Arial Narrow"/>
        </w:rPr>
        <w:t xml:space="preserve"> </w:t>
      </w:r>
      <w:proofErr w:type="spellStart"/>
      <w:r>
        <w:rPr>
          <w:rFonts w:ascii="Arial Narrow" w:hAnsi="Arial Narrow"/>
        </w:rPr>
        <w:t>en</w:t>
      </w:r>
      <w:proofErr w:type="spellEnd"/>
      <w:r>
        <w:rPr>
          <w:rFonts w:ascii="Arial Narrow" w:hAnsi="Arial Narrow"/>
        </w:rPr>
        <w:t xml:space="preserve"> </w:t>
      </w:r>
      <w:proofErr w:type="spellStart"/>
      <w:r>
        <w:rPr>
          <w:rFonts w:ascii="Arial Narrow" w:hAnsi="Arial Narrow"/>
        </w:rPr>
        <w:t>octubre</w:t>
      </w:r>
      <w:proofErr w:type="spellEnd"/>
      <w:r>
        <w:rPr>
          <w:rFonts w:ascii="Arial Narrow" w:hAnsi="Arial Narrow"/>
        </w:rPr>
        <w:t xml:space="preserve"> 2020</w:t>
      </w:r>
    </w:p>
  </w:footnote>
  <w:footnote w:id="5">
    <w:p w14:paraId="514457A9" w14:textId="1274C63F" w:rsidR="008C20C9" w:rsidRPr="008C20C9" w:rsidRDefault="008C20C9">
      <w:pPr>
        <w:pStyle w:val="Textonotapie"/>
        <w:rPr>
          <w:lang w:val="es-MX"/>
        </w:rPr>
      </w:pPr>
      <w:r>
        <w:rPr>
          <w:rStyle w:val="Refdenotaalpie"/>
        </w:rPr>
        <w:footnoteRef/>
      </w:r>
      <w:r>
        <w:t xml:space="preserve"> </w:t>
      </w:r>
      <w:r w:rsidR="00E00F4C" w:rsidRPr="00113497">
        <w:rPr>
          <w:rFonts w:ascii="Arial Narrow" w:hAnsi="Arial Narrow"/>
        </w:rPr>
        <w:t xml:space="preserve">De </w:t>
      </w:r>
      <w:proofErr w:type="spellStart"/>
      <w:r w:rsidR="00E00F4C" w:rsidRPr="00113497">
        <w:rPr>
          <w:rFonts w:ascii="Arial Narrow" w:hAnsi="Arial Narrow"/>
        </w:rPr>
        <w:t>acuerdo</w:t>
      </w:r>
      <w:proofErr w:type="spellEnd"/>
      <w:r w:rsidR="00E00F4C" w:rsidRPr="00113497">
        <w:rPr>
          <w:rFonts w:ascii="Arial Narrow" w:hAnsi="Arial Narrow"/>
        </w:rPr>
        <w:t xml:space="preserve"> con OFCOM, </w:t>
      </w:r>
      <w:r w:rsidR="00E00F4C" w:rsidRPr="002061C5">
        <w:rPr>
          <w:rFonts w:ascii="Arial Narrow" w:hAnsi="Arial Narrow" w:cs="Calibri"/>
        </w:rPr>
        <w:t xml:space="preserve">El </w:t>
      </w:r>
      <w:proofErr w:type="spellStart"/>
      <w:r w:rsidR="00E00F4C" w:rsidRPr="002061C5">
        <w:rPr>
          <w:rFonts w:ascii="Arial Narrow" w:hAnsi="Arial Narrow" w:cs="Calibri"/>
        </w:rPr>
        <w:t>desarrollo</w:t>
      </w:r>
      <w:proofErr w:type="spellEnd"/>
      <w:r w:rsidR="00E00F4C" w:rsidRPr="002061C5">
        <w:rPr>
          <w:rFonts w:ascii="Arial Narrow" w:hAnsi="Arial Narrow" w:cs="Calibri"/>
        </w:rPr>
        <w:t xml:space="preserve"> del </w:t>
      </w:r>
      <w:proofErr w:type="spellStart"/>
      <w:r w:rsidR="00E00F4C" w:rsidRPr="002061C5">
        <w:rPr>
          <w:rFonts w:ascii="Arial Narrow" w:hAnsi="Arial Narrow" w:cs="Calibri"/>
        </w:rPr>
        <w:t>estándar</w:t>
      </w:r>
      <w:proofErr w:type="spellEnd"/>
      <w:r w:rsidR="00E00F4C" w:rsidRPr="002061C5">
        <w:rPr>
          <w:rFonts w:ascii="Arial Narrow" w:hAnsi="Arial Narrow" w:cs="Calibri"/>
        </w:rPr>
        <w:t xml:space="preserve"> 5G ha </w:t>
      </w:r>
      <w:proofErr w:type="spellStart"/>
      <w:r w:rsidR="00E00F4C" w:rsidRPr="002061C5">
        <w:rPr>
          <w:rFonts w:ascii="Arial Narrow" w:hAnsi="Arial Narrow" w:cs="Calibri"/>
        </w:rPr>
        <w:t>llevado</w:t>
      </w:r>
      <w:proofErr w:type="spellEnd"/>
      <w:r w:rsidR="00E00F4C" w:rsidRPr="002061C5">
        <w:rPr>
          <w:rFonts w:ascii="Arial Narrow" w:hAnsi="Arial Narrow" w:cs="Calibri"/>
        </w:rPr>
        <w:t xml:space="preserve"> a </w:t>
      </w:r>
      <w:proofErr w:type="spellStart"/>
      <w:r w:rsidR="00E00F4C" w:rsidRPr="002061C5">
        <w:rPr>
          <w:rFonts w:ascii="Arial Narrow" w:hAnsi="Arial Narrow" w:cs="Calibri"/>
        </w:rPr>
        <w:t>diferentes</w:t>
      </w:r>
      <w:proofErr w:type="spellEnd"/>
      <w:r w:rsidR="00E00F4C" w:rsidRPr="002061C5">
        <w:rPr>
          <w:rFonts w:ascii="Arial Narrow" w:hAnsi="Arial Narrow" w:cs="Calibri"/>
        </w:rPr>
        <w:t xml:space="preserve"> </w:t>
      </w:r>
      <w:proofErr w:type="spellStart"/>
      <w:r w:rsidR="00E00F4C" w:rsidRPr="002061C5">
        <w:rPr>
          <w:rFonts w:ascii="Arial Narrow" w:hAnsi="Arial Narrow" w:cs="Calibri"/>
        </w:rPr>
        <w:t>países</w:t>
      </w:r>
      <w:proofErr w:type="spellEnd"/>
      <w:r w:rsidR="00E00F4C" w:rsidRPr="002061C5">
        <w:rPr>
          <w:rFonts w:ascii="Arial Narrow" w:hAnsi="Arial Narrow" w:cs="Calibri"/>
        </w:rPr>
        <w:t xml:space="preserve"> con </w:t>
      </w:r>
      <w:proofErr w:type="spellStart"/>
      <w:r w:rsidR="00E00F4C" w:rsidRPr="002061C5">
        <w:rPr>
          <w:rFonts w:ascii="Arial Narrow" w:hAnsi="Arial Narrow" w:cs="Calibri"/>
        </w:rPr>
        <w:t>liderazgo</w:t>
      </w:r>
      <w:proofErr w:type="spellEnd"/>
      <w:r w:rsidR="00E00F4C" w:rsidRPr="002061C5">
        <w:rPr>
          <w:rFonts w:ascii="Arial Narrow" w:hAnsi="Arial Narrow" w:cs="Calibri"/>
        </w:rPr>
        <w:t xml:space="preserve"> </w:t>
      </w:r>
      <w:proofErr w:type="spellStart"/>
      <w:r w:rsidR="00E00F4C" w:rsidRPr="002061C5">
        <w:rPr>
          <w:rFonts w:ascii="Arial Narrow" w:hAnsi="Arial Narrow" w:cs="Calibri"/>
        </w:rPr>
        <w:t>tecnológico</w:t>
      </w:r>
      <w:proofErr w:type="spellEnd"/>
      <w:r w:rsidR="00E00F4C" w:rsidRPr="002061C5">
        <w:rPr>
          <w:rFonts w:ascii="Arial Narrow" w:hAnsi="Arial Narrow" w:cs="Calibri"/>
        </w:rPr>
        <w:t xml:space="preserve"> </w:t>
      </w:r>
      <w:proofErr w:type="gramStart"/>
      <w:r w:rsidR="00E00F4C" w:rsidRPr="002061C5">
        <w:rPr>
          <w:rFonts w:ascii="Arial Narrow" w:hAnsi="Arial Narrow" w:cs="Calibri"/>
        </w:rPr>
        <w:t>a</w:t>
      </w:r>
      <w:proofErr w:type="gramEnd"/>
      <w:r w:rsidR="00E00F4C" w:rsidRPr="002061C5">
        <w:rPr>
          <w:rFonts w:ascii="Arial Narrow" w:hAnsi="Arial Narrow" w:cs="Calibri"/>
        </w:rPr>
        <w:t xml:space="preserve"> </w:t>
      </w:r>
      <w:proofErr w:type="spellStart"/>
      <w:r w:rsidR="00E00F4C" w:rsidRPr="002061C5">
        <w:rPr>
          <w:rFonts w:ascii="Arial Narrow" w:hAnsi="Arial Narrow" w:cs="Calibri"/>
        </w:rPr>
        <w:t>implementar</w:t>
      </w:r>
      <w:proofErr w:type="spellEnd"/>
      <w:r w:rsidR="00E00F4C" w:rsidRPr="002061C5">
        <w:rPr>
          <w:rFonts w:ascii="Arial Narrow" w:hAnsi="Arial Narrow" w:cs="Calibri"/>
        </w:rPr>
        <w:t xml:space="preserve"> y </w:t>
      </w:r>
      <w:proofErr w:type="spellStart"/>
      <w:r w:rsidR="00E00F4C" w:rsidRPr="002061C5">
        <w:rPr>
          <w:rFonts w:ascii="Arial Narrow" w:hAnsi="Arial Narrow" w:cs="Calibri"/>
        </w:rPr>
        <w:t>promocionar</w:t>
      </w:r>
      <w:proofErr w:type="spellEnd"/>
      <w:r w:rsidR="00E00F4C" w:rsidRPr="002061C5">
        <w:rPr>
          <w:rFonts w:ascii="Arial Narrow" w:hAnsi="Arial Narrow" w:cs="Calibri"/>
        </w:rPr>
        <w:t xml:space="preserve"> </w:t>
      </w:r>
      <w:proofErr w:type="spellStart"/>
      <w:r w:rsidR="00E00F4C" w:rsidRPr="002061C5">
        <w:rPr>
          <w:rFonts w:ascii="Arial Narrow" w:hAnsi="Arial Narrow" w:cs="Calibri"/>
        </w:rPr>
        <w:t>marcos</w:t>
      </w:r>
      <w:proofErr w:type="spellEnd"/>
      <w:r w:rsidR="00E00F4C" w:rsidRPr="002061C5">
        <w:rPr>
          <w:rFonts w:ascii="Arial Narrow" w:hAnsi="Arial Narrow" w:cs="Calibri"/>
        </w:rPr>
        <w:t xml:space="preserve"> </w:t>
      </w:r>
      <w:proofErr w:type="spellStart"/>
      <w:r w:rsidR="00E00F4C" w:rsidRPr="002061C5">
        <w:rPr>
          <w:rFonts w:ascii="Arial Narrow" w:hAnsi="Arial Narrow" w:cs="Calibri"/>
        </w:rPr>
        <w:t>administrativos</w:t>
      </w:r>
      <w:proofErr w:type="spellEnd"/>
      <w:r w:rsidR="00E00F4C" w:rsidRPr="002061C5">
        <w:rPr>
          <w:rFonts w:ascii="Arial Narrow" w:hAnsi="Arial Narrow" w:cs="Calibri"/>
        </w:rPr>
        <w:t xml:space="preserve"> de </w:t>
      </w:r>
      <w:proofErr w:type="spellStart"/>
      <w:r w:rsidR="00E00F4C" w:rsidRPr="002061C5">
        <w:rPr>
          <w:rFonts w:ascii="Arial Narrow" w:hAnsi="Arial Narrow" w:cs="Calibri"/>
        </w:rPr>
        <w:t>espectro</w:t>
      </w:r>
      <w:proofErr w:type="spellEnd"/>
      <w:r w:rsidR="00E00F4C" w:rsidRPr="002061C5">
        <w:rPr>
          <w:rFonts w:ascii="Arial Narrow" w:hAnsi="Arial Narrow" w:cs="Calibri"/>
        </w:rPr>
        <w:t xml:space="preserve"> </w:t>
      </w:r>
      <w:proofErr w:type="spellStart"/>
      <w:r w:rsidR="00E00F4C" w:rsidRPr="002061C5">
        <w:rPr>
          <w:rFonts w:ascii="Arial Narrow" w:hAnsi="Arial Narrow" w:cs="Calibri"/>
        </w:rPr>
        <w:t>adecuados</w:t>
      </w:r>
      <w:proofErr w:type="spellEnd"/>
      <w:r w:rsidR="00E00F4C" w:rsidRPr="002061C5">
        <w:rPr>
          <w:rFonts w:ascii="Arial Narrow" w:hAnsi="Arial Narrow" w:cs="Calibri"/>
        </w:rPr>
        <w:t xml:space="preserve"> para la entrada de </w:t>
      </w:r>
      <w:proofErr w:type="spellStart"/>
      <w:r w:rsidR="00E00F4C" w:rsidRPr="002061C5">
        <w:rPr>
          <w:rFonts w:ascii="Arial Narrow" w:hAnsi="Arial Narrow" w:cs="Calibri"/>
        </w:rPr>
        <w:t>dicho</w:t>
      </w:r>
      <w:proofErr w:type="spellEnd"/>
      <w:r w:rsidR="00E00F4C" w:rsidRPr="002061C5">
        <w:rPr>
          <w:rFonts w:ascii="Arial Narrow" w:hAnsi="Arial Narrow" w:cs="Calibri"/>
        </w:rPr>
        <w:t xml:space="preserve"> </w:t>
      </w:r>
      <w:proofErr w:type="spellStart"/>
      <w:r w:rsidR="00E00F4C" w:rsidRPr="002061C5">
        <w:rPr>
          <w:rFonts w:ascii="Arial Narrow" w:hAnsi="Arial Narrow" w:cs="Calibri"/>
        </w:rPr>
        <w:t>estándar</w:t>
      </w:r>
      <w:proofErr w:type="spellEnd"/>
      <w:r w:rsidR="00E00F4C" w:rsidRPr="002061C5">
        <w:rPr>
          <w:rFonts w:ascii="Arial Narrow" w:hAnsi="Arial Narrow" w:cs="Calibri"/>
        </w:rPr>
        <w:t xml:space="preserve"> </w:t>
      </w:r>
      <w:proofErr w:type="spellStart"/>
      <w:r w:rsidR="00E00F4C" w:rsidRPr="002061C5">
        <w:rPr>
          <w:rFonts w:ascii="Arial Narrow" w:hAnsi="Arial Narrow" w:cs="Calibri"/>
        </w:rPr>
        <w:t>en</w:t>
      </w:r>
      <w:proofErr w:type="spellEnd"/>
      <w:r w:rsidR="00E00F4C" w:rsidRPr="002061C5">
        <w:rPr>
          <w:rFonts w:ascii="Arial Narrow" w:hAnsi="Arial Narrow" w:cs="Calibri"/>
        </w:rPr>
        <w:t xml:space="preserve"> </w:t>
      </w:r>
      <w:proofErr w:type="spellStart"/>
      <w:r w:rsidR="00E00F4C" w:rsidRPr="002061C5">
        <w:rPr>
          <w:rFonts w:ascii="Arial Narrow" w:hAnsi="Arial Narrow" w:cs="Calibri"/>
        </w:rPr>
        <w:t>fomento</w:t>
      </w:r>
      <w:proofErr w:type="spellEnd"/>
      <w:r w:rsidR="00E00F4C" w:rsidRPr="002061C5">
        <w:rPr>
          <w:rFonts w:ascii="Arial Narrow" w:hAnsi="Arial Narrow" w:cs="Calibri"/>
        </w:rPr>
        <w:t xml:space="preserve"> de la </w:t>
      </w:r>
      <w:proofErr w:type="spellStart"/>
      <w:r w:rsidR="00E00F4C" w:rsidRPr="002061C5">
        <w:rPr>
          <w:rFonts w:ascii="Arial Narrow" w:hAnsi="Arial Narrow" w:cs="Calibri"/>
        </w:rPr>
        <w:t>competencia</w:t>
      </w:r>
      <w:proofErr w:type="spellEnd"/>
      <w:r w:rsidR="00E00F4C" w:rsidRPr="002061C5">
        <w:rPr>
          <w:rFonts w:ascii="Arial Narrow" w:hAnsi="Arial Narrow" w:cs="Calibri"/>
        </w:rPr>
        <w:t xml:space="preserve"> y del </w:t>
      </w:r>
      <w:proofErr w:type="spellStart"/>
      <w:r w:rsidR="00E00F4C" w:rsidRPr="002061C5">
        <w:rPr>
          <w:rFonts w:ascii="Arial Narrow" w:hAnsi="Arial Narrow" w:cs="Calibri"/>
        </w:rPr>
        <w:t>beneficio</w:t>
      </w:r>
      <w:proofErr w:type="spellEnd"/>
      <w:r w:rsidR="00E00F4C" w:rsidRPr="002061C5">
        <w:rPr>
          <w:rFonts w:ascii="Arial Narrow" w:hAnsi="Arial Narrow" w:cs="Calibri"/>
        </w:rPr>
        <w:t xml:space="preserve"> </w:t>
      </w:r>
      <w:proofErr w:type="spellStart"/>
      <w:r w:rsidR="00E00F4C" w:rsidRPr="002061C5">
        <w:rPr>
          <w:rFonts w:ascii="Arial Narrow" w:hAnsi="Arial Narrow" w:cs="Calibri"/>
        </w:rPr>
        <w:t>económico</w:t>
      </w:r>
      <w:proofErr w:type="spellEnd"/>
      <w:r w:rsidR="00E00F4C" w:rsidRPr="002061C5">
        <w:rPr>
          <w:rFonts w:ascii="Arial Narrow" w:hAnsi="Arial Narrow" w:cs="Calibri"/>
        </w:rPr>
        <w:t xml:space="preserve">. Ver </w:t>
      </w:r>
      <w:hyperlink r:id="rId2" w:history="1">
        <w:r w:rsidR="00E00F4C" w:rsidRPr="00F326D5">
          <w:rPr>
            <w:rStyle w:val="Hipervnculo"/>
            <w:rFonts w:ascii="Arial Narrow" w:hAnsi="Arial Narrow"/>
          </w:rPr>
          <w:t>https://www.ofcom.org.uk/manage-your-licence/radiocommunication-licences/non-operational-licences</w:t>
        </w:r>
      </w:hyperlink>
    </w:p>
  </w:footnote>
  <w:footnote w:id="6">
    <w:p w14:paraId="06729E10" w14:textId="768E5DC6" w:rsidR="00E00F4C" w:rsidRPr="00E00F4C" w:rsidRDefault="00E00F4C">
      <w:pPr>
        <w:pStyle w:val="Textonotapie"/>
        <w:rPr>
          <w:lang w:val="es-MX"/>
        </w:rPr>
      </w:pPr>
      <w:r>
        <w:rPr>
          <w:rStyle w:val="Refdenotaalpie"/>
        </w:rPr>
        <w:footnoteRef/>
      </w:r>
      <w:r>
        <w:t xml:space="preserve"> </w:t>
      </w:r>
      <w:r w:rsidRPr="002061C5">
        <w:rPr>
          <w:rFonts w:ascii="Arial Narrow" w:hAnsi="Arial Narrow" w:cs="Calibri"/>
        </w:rPr>
        <w:t xml:space="preserve">OCDE y Inter-American Development Bank. (2016). </w:t>
      </w:r>
      <w:proofErr w:type="spellStart"/>
      <w:r w:rsidRPr="002061C5">
        <w:rPr>
          <w:rFonts w:ascii="Arial Narrow" w:hAnsi="Arial Narrow" w:cs="Calibri"/>
        </w:rPr>
        <w:t>Políticas</w:t>
      </w:r>
      <w:proofErr w:type="spellEnd"/>
      <w:r w:rsidRPr="002061C5">
        <w:rPr>
          <w:rFonts w:ascii="Arial Narrow" w:hAnsi="Arial Narrow" w:cs="Calibri"/>
        </w:rPr>
        <w:t xml:space="preserve"> de </w:t>
      </w:r>
      <w:proofErr w:type="spellStart"/>
      <w:r w:rsidRPr="002061C5">
        <w:rPr>
          <w:rFonts w:ascii="Arial Narrow" w:hAnsi="Arial Narrow" w:cs="Calibri"/>
        </w:rPr>
        <w:t>banda</w:t>
      </w:r>
      <w:proofErr w:type="spellEnd"/>
      <w:r w:rsidRPr="002061C5">
        <w:rPr>
          <w:rFonts w:ascii="Arial Narrow" w:hAnsi="Arial Narrow" w:cs="Calibri"/>
        </w:rPr>
        <w:t xml:space="preserve"> </w:t>
      </w:r>
      <w:proofErr w:type="spellStart"/>
      <w:r w:rsidRPr="002061C5">
        <w:rPr>
          <w:rFonts w:ascii="Arial Narrow" w:hAnsi="Arial Narrow" w:cs="Calibri"/>
        </w:rPr>
        <w:t>ancha</w:t>
      </w:r>
      <w:proofErr w:type="spellEnd"/>
      <w:r w:rsidRPr="002061C5">
        <w:rPr>
          <w:rFonts w:ascii="Arial Narrow" w:hAnsi="Arial Narrow" w:cs="Calibri"/>
        </w:rPr>
        <w:t xml:space="preserve"> para </w:t>
      </w:r>
      <w:proofErr w:type="spellStart"/>
      <w:r w:rsidRPr="002061C5">
        <w:rPr>
          <w:rFonts w:ascii="Arial Narrow" w:hAnsi="Arial Narrow" w:cs="Calibri"/>
        </w:rPr>
        <w:t>Latinoamérica</w:t>
      </w:r>
      <w:proofErr w:type="spellEnd"/>
      <w:r w:rsidRPr="002061C5">
        <w:rPr>
          <w:rFonts w:ascii="Arial Narrow" w:hAnsi="Arial Narrow" w:cs="Calibri"/>
        </w:rPr>
        <w:t xml:space="preserve"> y el </w:t>
      </w:r>
      <w:proofErr w:type="spellStart"/>
      <w:r w:rsidRPr="002061C5">
        <w:rPr>
          <w:rFonts w:ascii="Arial Narrow" w:hAnsi="Arial Narrow" w:cs="Calibri"/>
        </w:rPr>
        <w:t>caribe</w:t>
      </w:r>
      <w:proofErr w:type="spellEnd"/>
      <w:r w:rsidRPr="002061C5">
        <w:rPr>
          <w:rFonts w:ascii="Arial Narrow" w:hAnsi="Arial Narrow" w:cs="Calibri"/>
        </w:rPr>
        <w:t xml:space="preserve">, un manual para la </w:t>
      </w:r>
      <w:proofErr w:type="spellStart"/>
      <w:r w:rsidRPr="002061C5">
        <w:rPr>
          <w:rFonts w:ascii="Arial Narrow" w:hAnsi="Arial Narrow" w:cs="Calibri"/>
        </w:rPr>
        <w:t>economía</w:t>
      </w:r>
      <w:proofErr w:type="spellEnd"/>
      <w:r w:rsidRPr="002061C5">
        <w:rPr>
          <w:rFonts w:ascii="Arial Narrow" w:hAnsi="Arial Narrow" w:cs="Calibri"/>
        </w:rPr>
        <w:t xml:space="preserve"> digital</w:t>
      </w:r>
    </w:p>
  </w:footnote>
  <w:footnote w:id="7">
    <w:p w14:paraId="556D2121" w14:textId="77CB5EBF" w:rsidR="00CD7558" w:rsidRPr="00CD7558" w:rsidRDefault="00CD7558">
      <w:pPr>
        <w:pStyle w:val="Textonotapie"/>
        <w:rPr>
          <w:lang w:val="es-MX"/>
        </w:rPr>
      </w:pPr>
      <w:r>
        <w:rPr>
          <w:rStyle w:val="Refdenotaalpie"/>
        </w:rPr>
        <w:footnoteRef/>
      </w:r>
      <w:r>
        <w:t xml:space="preserve"> </w:t>
      </w:r>
      <w:r w:rsidRPr="00A95BE5">
        <w:rPr>
          <w:rFonts w:ascii="Arial Narrow" w:hAnsi="Arial Narrow"/>
          <w:lang w:val="es-ES"/>
        </w:rPr>
        <w:t xml:space="preserve">De acuerdo con </w:t>
      </w:r>
      <w:proofErr w:type="gramStart"/>
      <w:r w:rsidRPr="00A95BE5">
        <w:rPr>
          <w:rFonts w:ascii="Arial Narrow" w:hAnsi="Arial Narrow"/>
          <w:lang w:val="es-ES"/>
        </w:rPr>
        <w:t>diferentes  pronósticos</w:t>
      </w:r>
      <w:proofErr w:type="gramEnd"/>
      <w:r w:rsidRPr="00A95BE5">
        <w:rPr>
          <w:rFonts w:ascii="Arial Narrow" w:hAnsi="Arial Narrow"/>
          <w:lang w:val="es-ES"/>
        </w:rPr>
        <w:t xml:space="preserve"> del sector se evidenciará un  crecimiento significativo de las conexiones móviles  4G y 5G al año 2025. Más información en</w:t>
      </w:r>
      <w:r>
        <w:rPr>
          <w:rFonts w:ascii="Arial Narrow" w:hAnsi="Arial Narrow"/>
          <w:lang w:val="es-ES"/>
        </w:rPr>
        <w:t>:</w:t>
      </w:r>
      <w:r w:rsidRPr="00A95BE5">
        <w:rPr>
          <w:rFonts w:ascii="Arial Narrow" w:hAnsi="Arial Narrow"/>
          <w:lang w:val="es-ES"/>
        </w:rPr>
        <w:t xml:space="preserve"> </w:t>
      </w:r>
      <w:hyperlink r:id="rId3" w:anchor=":~:text=There%20will%20be%20nearly%2030,all%20public%20Wi%2DFi%20hotspots" w:history="1">
        <w:r w:rsidRPr="00A95BE5">
          <w:rPr>
            <w:rStyle w:val="BodyText21"/>
            <w:rFonts w:ascii="Arial Narrow" w:hAnsi="Arial Narrow"/>
            <w:lang w:val="es-ES"/>
          </w:rPr>
          <w:t>https://newsroom.cisco.com/press-release-content?type=webcontent&amp;articleId=2055169#:~:text=There%20will%20be%20nearly%2030,all%20public%20Wi%2DFi%20hotspots</w:t>
        </w:r>
      </w:hyperlink>
      <w:r w:rsidRPr="00A95BE5">
        <w:rPr>
          <w:rFonts w:ascii="Arial Narrow" w:hAnsi="Arial Narrow"/>
          <w:lang w:val="es-ES"/>
        </w:rPr>
        <w:t xml:space="preserve">; </w:t>
      </w:r>
      <w:hyperlink r:id="rId4" w:history="1">
        <w:r w:rsidRPr="00A95BE5">
          <w:rPr>
            <w:rStyle w:val="BodyText21"/>
            <w:rFonts w:ascii="Arial Narrow" w:hAnsi="Arial Narrow"/>
            <w:lang w:val="es-ES"/>
          </w:rPr>
          <w:t>http://www-file.huawei.com/~/media/CORPORATE/PDF/mbb/huawei-mbb-report-final.pdf?la=en</w:t>
        </w:r>
      </w:hyperlink>
      <w:r w:rsidRPr="00A95BE5">
        <w:rPr>
          <w:rFonts w:ascii="Arial Narrow" w:hAnsi="Arial Narrow"/>
          <w:lang w:val="es-ES"/>
        </w:rPr>
        <w:t xml:space="preserve">; </w:t>
      </w:r>
      <w:hyperlink r:id="rId5" w:history="1">
        <w:r w:rsidRPr="00A95BE5">
          <w:rPr>
            <w:rStyle w:val="BodyText21"/>
            <w:rFonts w:ascii="Arial Narrow" w:hAnsi="Arial Narrow"/>
            <w:lang w:val="es-ES"/>
          </w:rPr>
          <w:t>https://www.ericsson.com/4adc87/assets/local/mobility-report/documents/2020/november-2020-ericsson-mobility-report.pdf</w:t>
        </w:r>
      </w:hyperlink>
    </w:p>
  </w:footnote>
  <w:footnote w:id="8">
    <w:p w14:paraId="211AC803" w14:textId="005F3390" w:rsidR="00CD7558" w:rsidRPr="00CD7558" w:rsidRDefault="00CD7558">
      <w:pPr>
        <w:pStyle w:val="Textonotapie"/>
        <w:rPr>
          <w:lang w:val="es-MX"/>
        </w:rPr>
      </w:pPr>
      <w:r>
        <w:rPr>
          <w:rStyle w:val="Refdenotaalpie"/>
        </w:rPr>
        <w:footnoteRef/>
      </w:r>
      <w:r>
        <w:t xml:space="preserve"> </w:t>
      </w:r>
      <w:proofErr w:type="gramStart"/>
      <w:r w:rsidRPr="00A95BE5">
        <w:rPr>
          <w:rFonts w:ascii="Arial Narrow" w:hAnsi="Arial Narrow"/>
        </w:rPr>
        <w:t>Ver  el</w:t>
      </w:r>
      <w:proofErr w:type="gramEnd"/>
      <w:r w:rsidRPr="00A95BE5">
        <w:rPr>
          <w:rFonts w:ascii="Arial Narrow" w:hAnsi="Arial Narrow"/>
        </w:rPr>
        <w:t xml:space="preserve"> </w:t>
      </w:r>
      <w:proofErr w:type="spellStart"/>
      <w:r w:rsidRPr="00A95BE5">
        <w:rPr>
          <w:rFonts w:ascii="Arial Narrow" w:hAnsi="Arial Narrow"/>
        </w:rPr>
        <w:t>capítulo</w:t>
      </w:r>
      <w:proofErr w:type="spellEnd"/>
      <w:r w:rsidRPr="00A95BE5">
        <w:rPr>
          <w:rFonts w:ascii="Arial Narrow" w:hAnsi="Arial Narrow"/>
        </w:rPr>
        <w:t xml:space="preserve"> 2 del </w:t>
      </w:r>
      <w:proofErr w:type="spellStart"/>
      <w:r w:rsidRPr="00A95BE5">
        <w:rPr>
          <w:rFonts w:ascii="Arial Narrow" w:hAnsi="Arial Narrow"/>
        </w:rPr>
        <w:t>presente</w:t>
      </w:r>
      <w:proofErr w:type="spellEnd"/>
      <w:r w:rsidRPr="00A95BE5">
        <w:rPr>
          <w:rFonts w:ascii="Arial Narrow" w:hAnsi="Arial Narrow"/>
        </w:rPr>
        <w:t xml:space="preserve"> </w:t>
      </w:r>
      <w:proofErr w:type="spellStart"/>
      <w:r w:rsidRPr="00A95BE5">
        <w:rPr>
          <w:rFonts w:ascii="Arial Narrow" w:hAnsi="Arial Narrow"/>
        </w:rPr>
        <w:t>documento</w:t>
      </w:r>
      <w:proofErr w:type="spellEnd"/>
      <w:r w:rsidRPr="00A95BE5">
        <w:rPr>
          <w:rFonts w:ascii="Arial Narrow" w:hAnsi="Arial Narrow"/>
        </w:rPr>
        <w:t>,</w:t>
      </w:r>
      <w:r w:rsidRPr="00C645DB">
        <w:rPr>
          <w:rFonts w:ascii="Arial Narrow" w:hAnsi="Arial Narrow"/>
        </w:rPr>
        <w:t xml:space="preserve">  </w:t>
      </w:r>
      <w:r w:rsidRPr="00A95BE5">
        <w:rPr>
          <w:rFonts w:ascii="Arial Narrow" w:hAnsi="Arial Narrow"/>
        </w:rPr>
        <w:t xml:space="preserve">el </w:t>
      </w:r>
      <w:proofErr w:type="spellStart"/>
      <w:r w:rsidRPr="00A95BE5">
        <w:rPr>
          <w:rFonts w:ascii="Arial Narrow" w:hAnsi="Arial Narrow"/>
        </w:rPr>
        <w:t>apartado</w:t>
      </w:r>
      <w:proofErr w:type="spellEnd"/>
      <w:r w:rsidRPr="00A95BE5">
        <w:rPr>
          <w:rFonts w:ascii="Arial Narrow" w:hAnsi="Arial Narrow"/>
        </w:rPr>
        <w:t xml:space="preserve"> </w:t>
      </w:r>
      <w:r w:rsidRPr="00A95BE5">
        <w:rPr>
          <w:rStyle w:val="BodyText21"/>
          <w:rFonts w:ascii="Arial Narrow" w:hAnsi="Arial Narrow"/>
          <w:lang w:val="es-ES"/>
        </w:rPr>
        <w:t>Bandas establecidas y reservadas para desarrollo futuro de las IMT en Colombia</w:t>
      </w:r>
    </w:p>
  </w:footnote>
  <w:footnote w:id="9">
    <w:p w14:paraId="199600A4" w14:textId="44179C88" w:rsidR="00562F0A" w:rsidRPr="00562F0A" w:rsidRDefault="00562F0A">
      <w:pPr>
        <w:pStyle w:val="Textonotapie"/>
        <w:rPr>
          <w:lang w:val="es-MX"/>
        </w:rPr>
      </w:pPr>
      <w:r>
        <w:rPr>
          <w:rStyle w:val="Refdenotaalpie"/>
        </w:rPr>
        <w:footnoteRef/>
      </w:r>
      <w:r>
        <w:t xml:space="preserve"> </w:t>
      </w:r>
      <w:r w:rsidRPr="00657996">
        <w:rPr>
          <w:rFonts w:ascii="Arial Narrow" w:hAnsi="Arial Narrow"/>
        </w:rPr>
        <w:t xml:space="preserve">Directrices de </w:t>
      </w:r>
      <w:proofErr w:type="spellStart"/>
      <w:r w:rsidRPr="00657996">
        <w:rPr>
          <w:rFonts w:ascii="Arial Narrow" w:hAnsi="Arial Narrow"/>
        </w:rPr>
        <w:t>política</w:t>
      </w:r>
      <w:proofErr w:type="spellEnd"/>
      <w:r w:rsidRPr="00657996">
        <w:rPr>
          <w:rFonts w:ascii="Arial Narrow" w:hAnsi="Arial Narrow"/>
        </w:rPr>
        <w:t xml:space="preserve"> y </w:t>
      </w:r>
      <w:proofErr w:type="spellStart"/>
      <w:r w:rsidRPr="00657996">
        <w:rPr>
          <w:rFonts w:ascii="Arial Narrow" w:hAnsi="Arial Narrow"/>
        </w:rPr>
        <w:t>aspectos</w:t>
      </w:r>
      <w:proofErr w:type="spellEnd"/>
      <w:r w:rsidRPr="00657996">
        <w:rPr>
          <w:rFonts w:ascii="Arial Narrow" w:hAnsi="Arial Narrow"/>
        </w:rPr>
        <w:t xml:space="preserve"> </w:t>
      </w:r>
      <w:proofErr w:type="spellStart"/>
      <w:r w:rsidRPr="00657996">
        <w:rPr>
          <w:rFonts w:ascii="Arial Narrow" w:hAnsi="Arial Narrow"/>
        </w:rPr>
        <w:t>económicos</w:t>
      </w:r>
      <w:proofErr w:type="spellEnd"/>
      <w:r w:rsidRPr="00657996">
        <w:rPr>
          <w:rFonts w:ascii="Arial Narrow" w:hAnsi="Arial Narrow"/>
        </w:rPr>
        <w:t xml:space="preserve"> de la </w:t>
      </w:r>
      <w:proofErr w:type="spellStart"/>
      <w:r w:rsidRPr="00657996">
        <w:rPr>
          <w:rFonts w:ascii="Arial Narrow" w:hAnsi="Arial Narrow"/>
        </w:rPr>
        <w:t>asignación</w:t>
      </w:r>
      <w:proofErr w:type="spellEnd"/>
      <w:r w:rsidRPr="00657996">
        <w:rPr>
          <w:rFonts w:ascii="Arial Narrow" w:hAnsi="Arial Narrow"/>
        </w:rPr>
        <w:t xml:space="preserve"> y </w:t>
      </w:r>
      <w:proofErr w:type="spellStart"/>
      <w:r w:rsidRPr="00657996">
        <w:rPr>
          <w:rFonts w:ascii="Arial Narrow" w:hAnsi="Arial Narrow"/>
        </w:rPr>
        <w:t>uso</w:t>
      </w:r>
      <w:proofErr w:type="spellEnd"/>
      <w:r w:rsidRPr="00657996">
        <w:rPr>
          <w:rFonts w:ascii="Arial Narrow" w:hAnsi="Arial Narrow"/>
        </w:rPr>
        <w:t xml:space="preserve"> del </w:t>
      </w:r>
      <w:proofErr w:type="spellStart"/>
      <w:r w:rsidRPr="00657996">
        <w:rPr>
          <w:rFonts w:ascii="Arial Narrow" w:hAnsi="Arial Narrow"/>
        </w:rPr>
        <w:t>espectro</w:t>
      </w:r>
      <w:proofErr w:type="spellEnd"/>
      <w:r w:rsidRPr="00657996">
        <w:rPr>
          <w:rFonts w:ascii="Arial Narrow" w:hAnsi="Arial Narrow"/>
        </w:rPr>
        <w:t xml:space="preserve"> </w:t>
      </w:r>
      <w:proofErr w:type="spellStart"/>
      <w:r w:rsidRPr="00657996">
        <w:rPr>
          <w:rFonts w:ascii="Arial Narrow" w:hAnsi="Arial Narrow"/>
        </w:rPr>
        <w:t>radioeléctrico</w:t>
      </w:r>
      <w:proofErr w:type="spellEnd"/>
      <w:r w:rsidRPr="00657996">
        <w:rPr>
          <w:rFonts w:ascii="Arial Narrow" w:hAnsi="Arial Narrow"/>
        </w:rPr>
        <w:t xml:space="preserve">. Sector de Desarrollo de las </w:t>
      </w:r>
      <w:proofErr w:type="spellStart"/>
      <w:r w:rsidRPr="00657996">
        <w:rPr>
          <w:rFonts w:ascii="Arial Narrow" w:hAnsi="Arial Narrow"/>
        </w:rPr>
        <w:t>Telecomunicaciones</w:t>
      </w:r>
      <w:proofErr w:type="spellEnd"/>
      <w:r w:rsidRPr="00657996">
        <w:rPr>
          <w:rFonts w:ascii="Arial Narrow" w:hAnsi="Arial Narrow"/>
        </w:rPr>
        <w:t>. UIT 2016</w:t>
      </w:r>
      <w:r>
        <w:rPr>
          <w:rFonts w:ascii="Arial Narrow" w:hAnsi="Arial Narrow"/>
        </w:rPr>
        <w:t xml:space="preserve">. Ver </w:t>
      </w:r>
      <w:r w:rsidRPr="00AD763E">
        <w:rPr>
          <w:rFonts w:ascii="Arial Narrow" w:hAnsi="Arial Narrow"/>
        </w:rPr>
        <w:t>https://www.itu.int/dms_pub/itu-d/opb/pref/D-PREF-EF.RAD_SPEC_GUIDE-2016-PDF-S.pdf</w:t>
      </w:r>
    </w:p>
  </w:footnote>
  <w:footnote w:id="10">
    <w:p w14:paraId="3816B2DE" w14:textId="52033214" w:rsidR="00F10BD4" w:rsidRPr="00F10BD4" w:rsidRDefault="00F10BD4">
      <w:pPr>
        <w:pStyle w:val="Textonotapie"/>
        <w:rPr>
          <w:lang w:val="es-MX"/>
        </w:rPr>
      </w:pPr>
      <w:r>
        <w:rPr>
          <w:rStyle w:val="Refdenotaalpie"/>
        </w:rPr>
        <w:footnoteRef/>
      </w:r>
      <w:r>
        <w:t xml:space="preserve"> </w:t>
      </w:r>
      <w:r w:rsidRPr="00A95BE5">
        <w:rPr>
          <w:rFonts w:ascii="Arial Narrow" w:hAnsi="Arial Narrow"/>
          <w:lang w:val="es-ES"/>
        </w:rPr>
        <w:t>Plan 5G Colombia. https://www.mintic.gov.co/portal/604/articles-118058_plan_5g_2019120.pdf</w:t>
      </w:r>
    </w:p>
  </w:footnote>
  <w:footnote w:id="11">
    <w:p w14:paraId="313A66DE" w14:textId="77777777" w:rsidR="002061C5" w:rsidRPr="00A95BE5" w:rsidRDefault="002061C5" w:rsidP="002061C5">
      <w:pPr>
        <w:pStyle w:val="Refdenotaalpie"/>
        <w:jc w:val="both"/>
      </w:pPr>
      <w:r>
        <w:rPr>
          <w:rStyle w:val="Ttulo"/>
        </w:rPr>
        <w:footnoteRef/>
      </w:r>
      <w:r>
        <w:t xml:space="preserve"> </w:t>
      </w:r>
      <w:r w:rsidRPr="00A95BE5">
        <w:rPr>
          <w:rFonts w:ascii="Arial Narrow" w:hAnsi="Arial Narrow"/>
        </w:rPr>
        <w:t xml:space="preserve">Al respecto consultar el PND. </w:t>
      </w:r>
      <w:r w:rsidRPr="00976704">
        <w:rPr>
          <w:rFonts w:ascii="Arial Narrow" w:hAnsi="Arial Narrow"/>
        </w:rPr>
        <w:t xml:space="preserve">Disponible </w:t>
      </w:r>
      <w:proofErr w:type="spellStart"/>
      <w:r w:rsidRPr="00976704">
        <w:rPr>
          <w:rFonts w:ascii="Arial Narrow" w:hAnsi="Arial Narrow"/>
        </w:rPr>
        <w:t>en</w:t>
      </w:r>
      <w:proofErr w:type="spellEnd"/>
      <w:r w:rsidRPr="00976704">
        <w:rPr>
          <w:rFonts w:ascii="Arial Narrow" w:hAnsi="Arial Narrow"/>
        </w:rPr>
        <w:t xml:space="preserve"> https://www.dnp.gov.co/DNPN/Plan-Nacional-de-Desarrollo/Paginas/Pactos-Transversales/Pacto-transformacion-digital-de-Colombia/Transformacion-digital.aspx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9E56" w14:textId="77777777" w:rsidR="00F07A7D" w:rsidRDefault="00F07A7D">
    <w:pPr>
      <w:pStyle w:val="Piedepgina"/>
    </w:pPr>
  </w:p>
  <w:tbl>
    <w:tblPr>
      <w:tblW w:w="10728"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475"/>
    </w:tblGrid>
    <w:tr w:rsidR="00696582" w14:paraId="39BFBC09" w14:textId="77777777" w:rsidTr="4C77AD8D">
      <w:tc>
        <w:tcPr>
          <w:tcW w:w="4253" w:type="dxa"/>
          <w:shd w:val="clear" w:color="auto" w:fill="auto"/>
        </w:tcPr>
        <w:p w14:paraId="44E871BC" w14:textId="77777777" w:rsidR="00696582" w:rsidRDefault="4C77AD8D" w:rsidP="001447C1">
          <w:pPr>
            <w:pStyle w:val="Piedepgina"/>
          </w:pPr>
          <w:r>
            <w:rPr>
              <w:noProof/>
            </w:rPr>
            <w:drawing>
              <wp:inline distT="0" distB="0" distL="0" distR="0" wp14:anchorId="19C8F1F0" wp14:editId="377249FE">
                <wp:extent cx="2562225" cy="5429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225" cy="542925"/>
                        </a:xfrm>
                        <a:prstGeom prst="rect">
                          <a:avLst/>
                        </a:prstGeom>
                      </pic:spPr>
                    </pic:pic>
                  </a:graphicData>
                </a:graphic>
              </wp:inline>
            </w:drawing>
          </w:r>
        </w:p>
      </w:tc>
      <w:tc>
        <w:tcPr>
          <w:tcW w:w="6475" w:type="dxa"/>
          <w:shd w:val="clear" w:color="auto" w:fill="auto"/>
          <w:vAlign w:val="center"/>
        </w:tcPr>
        <w:p w14:paraId="45AB840F" w14:textId="77777777" w:rsidR="00696582" w:rsidRDefault="00696582" w:rsidP="001447C1">
          <w:pPr>
            <w:pStyle w:val="Ttulo2"/>
            <w:ind w:left="72" w:right="72"/>
          </w:pPr>
          <w:r w:rsidRPr="00FD3D04">
            <w:rPr>
              <w:rFonts w:cs="Arial"/>
              <w:bCs/>
              <w:color w:val="000000"/>
              <w:sz w:val="24"/>
              <w:szCs w:val="24"/>
            </w:rPr>
            <w:t>FORMATO MEMORIA JUSTIFICATIVA</w:t>
          </w:r>
        </w:p>
      </w:tc>
    </w:tr>
  </w:tbl>
  <w:p w14:paraId="144A5D23" w14:textId="77777777" w:rsidR="00F07A7D" w:rsidRDefault="00F07A7D">
    <w:pPr>
      <w:pStyle w:val="Piedep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7"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334"/>
    </w:tblGrid>
    <w:tr w:rsidR="00350767" w14:paraId="78150ED2" w14:textId="77777777" w:rsidTr="4C77AD8D">
      <w:tc>
        <w:tcPr>
          <w:tcW w:w="4253" w:type="dxa"/>
          <w:shd w:val="clear" w:color="auto" w:fill="auto"/>
        </w:tcPr>
        <w:p w14:paraId="07459315" w14:textId="77777777" w:rsidR="00350767" w:rsidRDefault="4C77AD8D">
          <w:pPr>
            <w:pStyle w:val="Piedepgina"/>
          </w:pPr>
          <w:r>
            <w:rPr>
              <w:noProof/>
            </w:rPr>
            <w:drawing>
              <wp:inline distT="0" distB="0" distL="0" distR="0" wp14:anchorId="0A911172" wp14:editId="3A3F350B">
                <wp:extent cx="2562225" cy="5429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225" cy="542925"/>
                        </a:xfrm>
                        <a:prstGeom prst="rect">
                          <a:avLst/>
                        </a:prstGeom>
                      </pic:spPr>
                    </pic:pic>
                  </a:graphicData>
                </a:graphic>
              </wp:inline>
            </w:drawing>
          </w:r>
        </w:p>
      </w:tc>
      <w:tc>
        <w:tcPr>
          <w:tcW w:w="6334" w:type="dxa"/>
          <w:shd w:val="clear" w:color="auto" w:fill="auto"/>
          <w:vAlign w:val="center"/>
        </w:tcPr>
        <w:p w14:paraId="0A5863A5" w14:textId="77777777" w:rsidR="00350767" w:rsidRDefault="00350767" w:rsidP="00FD3D04">
          <w:pPr>
            <w:pStyle w:val="Ttulo2"/>
            <w:ind w:left="72" w:right="72"/>
          </w:pPr>
          <w:r w:rsidRPr="00FD3D04">
            <w:rPr>
              <w:rFonts w:cs="Arial"/>
              <w:bCs/>
              <w:color w:val="000000"/>
              <w:sz w:val="24"/>
              <w:szCs w:val="24"/>
            </w:rPr>
            <w:t>FORMATO MEMORIA JUSTIFICATIVA</w:t>
          </w:r>
        </w:p>
      </w:tc>
    </w:tr>
  </w:tbl>
  <w:p w14:paraId="6537F28F" w14:textId="77777777" w:rsidR="00350767" w:rsidRDefault="00350767">
    <w:pPr>
      <w:pStyle w:val="Piedep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8D575C"/>
    <w:multiLevelType w:val="multilevel"/>
    <w:tmpl w:val="6B9C9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2E7655"/>
    <w:multiLevelType w:val="hybridMultilevel"/>
    <w:tmpl w:val="BAC48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6" w15:restartNumberingAfterBreak="0">
    <w:nsid w:val="53494E58"/>
    <w:multiLevelType w:val="multilevel"/>
    <w:tmpl w:val="A6B60EF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842D9E"/>
    <w:multiLevelType w:val="hybridMultilevel"/>
    <w:tmpl w:val="6A9A14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7"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8"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0"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4"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0"/>
  </w:num>
  <w:num w:numId="4">
    <w:abstractNumId w:val="8"/>
  </w:num>
  <w:num w:numId="5">
    <w:abstractNumId w:val="16"/>
  </w:num>
  <w:num w:numId="6">
    <w:abstractNumId w:val="34"/>
  </w:num>
  <w:num w:numId="7">
    <w:abstractNumId w:val="9"/>
  </w:num>
  <w:num w:numId="8">
    <w:abstractNumId w:val="17"/>
  </w:num>
  <w:num w:numId="9">
    <w:abstractNumId w:val="6"/>
  </w:num>
  <w:num w:numId="10">
    <w:abstractNumId w:val="22"/>
  </w:num>
  <w:num w:numId="11">
    <w:abstractNumId w:val="13"/>
  </w:num>
  <w:num w:numId="12">
    <w:abstractNumId w:val="35"/>
  </w:num>
  <w:num w:numId="13">
    <w:abstractNumId w:val="41"/>
  </w:num>
  <w:num w:numId="14">
    <w:abstractNumId w:val="42"/>
  </w:num>
  <w:num w:numId="15">
    <w:abstractNumId w:val="1"/>
  </w:num>
  <w:num w:numId="16">
    <w:abstractNumId w:val="23"/>
  </w:num>
  <w:num w:numId="17">
    <w:abstractNumId w:val="4"/>
  </w:num>
  <w:num w:numId="18">
    <w:abstractNumId w:val="25"/>
  </w:num>
  <w:num w:numId="19">
    <w:abstractNumId w:val="30"/>
  </w:num>
  <w:num w:numId="20">
    <w:abstractNumId w:val="0"/>
  </w:num>
  <w:num w:numId="21">
    <w:abstractNumId w:val="10"/>
  </w:num>
  <w:num w:numId="22">
    <w:abstractNumId w:val="20"/>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1"/>
  </w:num>
  <w:num w:numId="26">
    <w:abstractNumId w:val="32"/>
  </w:num>
  <w:num w:numId="27">
    <w:abstractNumId w:val="29"/>
  </w:num>
  <w:num w:numId="28">
    <w:abstractNumId w:val="43"/>
  </w:num>
  <w:num w:numId="29">
    <w:abstractNumId w:val="1"/>
  </w:num>
  <w:num w:numId="30">
    <w:abstractNumId w:val="45"/>
  </w:num>
  <w:num w:numId="31">
    <w:abstractNumId w:val="24"/>
  </w:num>
  <w:num w:numId="32">
    <w:abstractNumId w:val="38"/>
  </w:num>
  <w:num w:numId="33">
    <w:abstractNumId w:val="28"/>
  </w:num>
  <w:num w:numId="34">
    <w:abstractNumId w:val="37"/>
  </w:num>
  <w:num w:numId="35">
    <w:abstractNumId w:val="14"/>
  </w:num>
  <w:num w:numId="36">
    <w:abstractNumId w:val="5"/>
  </w:num>
  <w:num w:numId="37">
    <w:abstractNumId w:val="2"/>
  </w:num>
  <w:num w:numId="38">
    <w:abstractNumId w:val="31"/>
  </w:num>
  <w:num w:numId="39">
    <w:abstractNumId w:val="36"/>
  </w:num>
  <w:num w:numId="40">
    <w:abstractNumId w:val="15"/>
  </w:num>
  <w:num w:numId="41">
    <w:abstractNumId w:val="44"/>
  </w:num>
  <w:num w:numId="42">
    <w:abstractNumId w:val="19"/>
  </w:num>
  <w:num w:numId="43">
    <w:abstractNumId w:val="3"/>
  </w:num>
  <w:num w:numId="44">
    <w:abstractNumId w:val="12"/>
  </w:num>
  <w:num w:numId="45">
    <w:abstractNumId w:val="21"/>
  </w:num>
  <w:num w:numId="46">
    <w:abstractNumId w:val="27"/>
  </w:num>
  <w:num w:numId="47">
    <w:abstractNumId w:val="2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3D24"/>
    <w:rsid w:val="00006F83"/>
    <w:rsid w:val="00007F07"/>
    <w:rsid w:val="000118B6"/>
    <w:rsid w:val="00013C42"/>
    <w:rsid w:val="00014D67"/>
    <w:rsid w:val="00016A94"/>
    <w:rsid w:val="00021FCC"/>
    <w:rsid w:val="00024B14"/>
    <w:rsid w:val="00024F34"/>
    <w:rsid w:val="0002546A"/>
    <w:rsid w:val="000311C7"/>
    <w:rsid w:val="00032CBF"/>
    <w:rsid w:val="000419FB"/>
    <w:rsid w:val="0004205E"/>
    <w:rsid w:val="00047A6E"/>
    <w:rsid w:val="00050524"/>
    <w:rsid w:val="00066463"/>
    <w:rsid w:val="000754FE"/>
    <w:rsid w:val="0007636F"/>
    <w:rsid w:val="00081CEE"/>
    <w:rsid w:val="00084B49"/>
    <w:rsid w:val="00086B16"/>
    <w:rsid w:val="00092C0A"/>
    <w:rsid w:val="00094D9F"/>
    <w:rsid w:val="000A35DA"/>
    <w:rsid w:val="000A3E34"/>
    <w:rsid w:val="000A44C9"/>
    <w:rsid w:val="000B30A6"/>
    <w:rsid w:val="000B39C5"/>
    <w:rsid w:val="000B50F1"/>
    <w:rsid w:val="000C41BE"/>
    <w:rsid w:val="000C614C"/>
    <w:rsid w:val="000C6C52"/>
    <w:rsid w:val="000D1904"/>
    <w:rsid w:val="000D2DA8"/>
    <w:rsid w:val="000D512E"/>
    <w:rsid w:val="000E0152"/>
    <w:rsid w:val="000E370D"/>
    <w:rsid w:val="000E65A4"/>
    <w:rsid w:val="00101CC6"/>
    <w:rsid w:val="00105533"/>
    <w:rsid w:val="00106417"/>
    <w:rsid w:val="001072FB"/>
    <w:rsid w:val="00116659"/>
    <w:rsid w:val="001175AA"/>
    <w:rsid w:val="00125A3A"/>
    <w:rsid w:val="00126916"/>
    <w:rsid w:val="00126980"/>
    <w:rsid w:val="001303DD"/>
    <w:rsid w:val="001348DA"/>
    <w:rsid w:val="001365B5"/>
    <w:rsid w:val="00136CD0"/>
    <w:rsid w:val="0013737F"/>
    <w:rsid w:val="00140070"/>
    <w:rsid w:val="00142BF2"/>
    <w:rsid w:val="001447C1"/>
    <w:rsid w:val="00145BCA"/>
    <w:rsid w:val="00147826"/>
    <w:rsid w:val="0015216F"/>
    <w:rsid w:val="0015311D"/>
    <w:rsid w:val="00153523"/>
    <w:rsid w:val="00157729"/>
    <w:rsid w:val="00164587"/>
    <w:rsid w:val="001665A3"/>
    <w:rsid w:val="00167903"/>
    <w:rsid w:val="001743EF"/>
    <w:rsid w:val="00174A31"/>
    <w:rsid w:val="00177232"/>
    <w:rsid w:val="00187186"/>
    <w:rsid w:val="0019271A"/>
    <w:rsid w:val="00194228"/>
    <w:rsid w:val="001978EB"/>
    <w:rsid w:val="001A2AF1"/>
    <w:rsid w:val="001A6980"/>
    <w:rsid w:val="001B0939"/>
    <w:rsid w:val="001C013E"/>
    <w:rsid w:val="001D1743"/>
    <w:rsid w:val="001D17CF"/>
    <w:rsid w:val="001E2543"/>
    <w:rsid w:val="001E2CC8"/>
    <w:rsid w:val="001E6C60"/>
    <w:rsid w:val="001F238A"/>
    <w:rsid w:val="002061C5"/>
    <w:rsid w:val="002116D5"/>
    <w:rsid w:val="002133F1"/>
    <w:rsid w:val="00216511"/>
    <w:rsid w:val="002171A2"/>
    <w:rsid w:val="002217D1"/>
    <w:rsid w:val="002264B8"/>
    <w:rsid w:val="00235361"/>
    <w:rsid w:val="00236F62"/>
    <w:rsid w:val="00237D76"/>
    <w:rsid w:val="00251FCE"/>
    <w:rsid w:val="00252F13"/>
    <w:rsid w:val="00254313"/>
    <w:rsid w:val="0026513E"/>
    <w:rsid w:val="002729A5"/>
    <w:rsid w:val="002771CE"/>
    <w:rsid w:val="002862C1"/>
    <w:rsid w:val="00286449"/>
    <w:rsid w:val="00287EC3"/>
    <w:rsid w:val="00293F29"/>
    <w:rsid w:val="002941D1"/>
    <w:rsid w:val="002A2A12"/>
    <w:rsid w:val="002C05D0"/>
    <w:rsid w:val="002C6429"/>
    <w:rsid w:val="002D096D"/>
    <w:rsid w:val="002D11FE"/>
    <w:rsid w:val="002D2CB2"/>
    <w:rsid w:val="002D35EC"/>
    <w:rsid w:val="002D3D21"/>
    <w:rsid w:val="002D3FE3"/>
    <w:rsid w:val="002D5E8B"/>
    <w:rsid w:val="002E4A97"/>
    <w:rsid w:val="002E71C4"/>
    <w:rsid w:val="002F226A"/>
    <w:rsid w:val="002F7A26"/>
    <w:rsid w:val="00301DC2"/>
    <w:rsid w:val="003162CC"/>
    <w:rsid w:val="003227FD"/>
    <w:rsid w:val="00325A55"/>
    <w:rsid w:val="0033412D"/>
    <w:rsid w:val="003343DB"/>
    <w:rsid w:val="0033662F"/>
    <w:rsid w:val="00336655"/>
    <w:rsid w:val="00342B3C"/>
    <w:rsid w:val="00346554"/>
    <w:rsid w:val="003503EB"/>
    <w:rsid w:val="00350767"/>
    <w:rsid w:val="00350E4B"/>
    <w:rsid w:val="003533A1"/>
    <w:rsid w:val="003651DE"/>
    <w:rsid w:val="00367CB8"/>
    <w:rsid w:val="003711C0"/>
    <w:rsid w:val="00373197"/>
    <w:rsid w:val="0038390A"/>
    <w:rsid w:val="003A0BBF"/>
    <w:rsid w:val="003A3C08"/>
    <w:rsid w:val="003A6449"/>
    <w:rsid w:val="003A73D2"/>
    <w:rsid w:val="003B3F46"/>
    <w:rsid w:val="003B4DDE"/>
    <w:rsid w:val="003B4F4F"/>
    <w:rsid w:val="003B625C"/>
    <w:rsid w:val="003C0C28"/>
    <w:rsid w:val="003C0F32"/>
    <w:rsid w:val="003C6CAC"/>
    <w:rsid w:val="003D3516"/>
    <w:rsid w:val="003E1394"/>
    <w:rsid w:val="003E4192"/>
    <w:rsid w:val="003E582F"/>
    <w:rsid w:val="00401B59"/>
    <w:rsid w:val="00405CE5"/>
    <w:rsid w:val="00410F12"/>
    <w:rsid w:val="00411831"/>
    <w:rsid w:val="0041604F"/>
    <w:rsid w:val="0042770B"/>
    <w:rsid w:val="00427DD9"/>
    <w:rsid w:val="004317DB"/>
    <w:rsid w:val="00432C5C"/>
    <w:rsid w:val="00437C19"/>
    <w:rsid w:val="00446B00"/>
    <w:rsid w:val="00461D1F"/>
    <w:rsid w:val="00470148"/>
    <w:rsid w:val="00470526"/>
    <w:rsid w:val="004848A4"/>
    <w:rsid w:val="004A0755"/>
    <w:rsid w:val="004A6BE3"/>
    <w:rsid w:val="004B078F"/>
    <w:rsid w:val="004C08BB"/>
    <w:rsid w:val="004C4371"/>
    <w:rsid w:val="004C58EE"/>
    <w:rsid w:val="004C7D38"/>
    <w:rsid w:val="004D0D86"/>
    <w:rsid w:val="004D10C6"/>
    <w:rsid w:val="004D2643"/>
    <w:rsid w:val="004D294E"/>
    <w:rsid w:val="004D3D03"/>
    <w:rsid w:val="004D4586"/>
    <w:rsid w:val="004D6329"/>
    <w:rsid w:val="004E034B"/>
    <w:rsid w:val="004E17FC"/>
    <w:rsid w:val="004E274E"/>
    <w:rsid w:val="004E517F"/>
    <w:rsid w:val="004E6049"/>
    <w:rsid w:val="004F778E"/>
    <w:rsid w:val="004F7A38"/>
    <w:rsid w:val="0050148F"/>
    <w:rsid w:val="00502F91"/>
    <w:rsid w:val="005115CF"/>
    <w:rsid w:val="0051684F"/>
    <w:rsid w:val="00520AAA"/>
    <w:rsid w:val="00520B2A"/>
    <w:rsid w:val="00526A43"/>
    <w:rsid w:val="005338E4"/>
    <w:rsid w:val="005366D5"/>
    <w:rsid w:val="00541905"/>
    <w:rsid w:val="0054286C"/>
    <w:rsid w:val="00543E5A"/>
    <w:rsid w:val="00545A32"/>
    <w:rsid w:val="0054645F"/>
    <w:rsid w:val="005616ED"/>
    <w:rsid w:val="005629D0"/>
    <w:rsid w:val="00562F0A"/>
    <w:rsid w:val="00564A4E"/>
    <w:rsid w:val="005815B6"/>
    <w:rsid w:val="00584E85"/>
    <w:rsid w:val="005871DA"/>
    <w:rsid w:val="00587695"/>
    <w:rsid w:val="0059054D"/>
    <w:rsid w:val="00592798"/>
    <w:rsid w:val="0059316B"/>
    <w:rsid w:val="005949A8"/>
    <w:rsid w:val="005A077D"/>
    <w:rsid w:val="005A4320"/>
    <w:rsid w:val="005A498D"/>
    <w:rsid w:val="005C19CA"/>
    <w:rsid w:val="005C4522"/>
    <w:rsid w:val="005C6489"/>
    <w:rsid w:val="005D49BF"/>
    <w:rsid w:val="005F2BEE"/>
    <w:rsid w:val="005F30C3"/>
    <w:rsid w:val="005F42AA"/>
    <w:rsid w:val="005F7863"/>
    <w:rsid w:val="0060353B"/>
    <w:rsid w:val="006138B7"/>
    <w:rsid w:val="00620876"/>
    <w:rsid w:val="00624FD0"/>
    <w:rsid w:val="00630C5E"/>
    <w:rsid w:val="006315B4"/>
    <w:rsid w:val="00635AC3"/>
    <w:rsid w:val="00636FFB"/>
    <w:rsid w:val="0064664F"/>
    <w:rsid w:val="00654CCF"/>
    <w:rsid w:val="00665F82"/>
    <w:rsid w:val="0067186C"/>
    <w:rsid w:val="00671E11"/>
    <w:rsid w:val="006779DA"/>
    <w:rsid w:val="00680F46"/>
    <w:rsid w:val="00687EB3"/>
    <w:rsid w:val="00692980"/>
    <w:rsid w:val="00693246"/>
    <w:rsid w:val="0069506F"/>
    <w:rsid w:val="00696582"/>
    <w:rsid w:val="006A1B04"/>
    <w:rsid w:val="006A1DBB"/>
    <w:rsid w:val="006B41A7"/>
    <w:rsid w:val="006B4E40"/>
    <w:rsid w:val="006C103A"/>
    <w:rsid w:val="006C4E6A"/>
    <w:rsid w:val="006C50E8"/>
    <w:rsid w:val="006C598E"/>
    <w:rsid w:val="006D464D"/>
    <w:rsid w:val="006E6F11"/>
    <w:rsid w:val="006F0B6B"/>
    <w:rsid w:val="006F144D"/>
    <w:rsid w:val="006F461B"/>
    <w:rsid w:val="006F622C"/>
    <w:rsid w:val="00700FF6"/>
    <w:rsid w:val="00702C58"/>
    <w:rsid w:val="00704D44"/>
    <w:rsid w:val="00715A68"/>
    <w:rsid w:val="00715DD5"/>
    <w:rsid w:val="00715ECF"/>
    <w:rsid w:val="00717A04"/>
    <w:rsid w:val="00717BFE"/>
    <w:rsid w:val="007208C5"/>
    <w:rsid w:val="0072376F"/>
    <w:rsid w:val="00725BB4"/>
    <w:rsid w:val="0073180A"/>
    <w:rsid w:val="00732997"/>
    <w:rsid w:val="007336C3"/>
    <w:rsid w:val="00735033"/>
    <w:rsid w:val="00741BA1"/>
    <w:rsid w:val="00756485"/>
    <w:rsid w:val="0075705D"/>
    <w:rsid w:val="007626E1"/>
    <w:rsid w:val="00762949"/>
    <w:rsid w:val="00764A7E"/>
    <w:rsid w:val="00767F65"/>
    <w:rsid w:val="00770D6C"/>
    <w:rsid w:val="007747B0"/>
    <w:rsid w:val="00782BE3"/>
    <w:rsid w:val="00783515"/>
    <w:rsid w:val="00787C94"/>
    <w:rsid w:val="00791BCB"/>
    <w:rsid w:val="007921BD"/>
    <w:rsid w:val="00793A02"/>
    <w:rsid w:val="00795C6B"/>
    <w:rsid w:val="007A087E"/>
    <w:rsid w:val="007A1566"/>
    <w:rsid w:val="007A3995"/>
    <w:rsid w:val="007A5AC5"/>
    <w:rsid w:val="007B622D"/>
    <w:rsid w:val="007C41D1"/>
    <w:rsid w:val="007C4288"/>
    <w:rsid w:val="007C484E"/>
    <w:rsid w:val="007D4853"/>
    <w:rsid w:val="007D57C4"/>
    <w:rsid w:val="007E0429"/>
    <w:rsid w:val="007E41DE"/>
    <w:rsid w:val="007E4CE3"/>
    <w:rsid w:val="007F2B1F"/>
    <w:rsid w:val="00802F7A"/>
    <w:rsid w:val="00806A1C"/>
    <w:rsid w:val="0080773A"/>
    <w:rsid w:val="008173F3"/>
    <w:rsid w:val="0082117C"/>
    <w:rsid w:val="008227E9"/>
    <w:rsid w:val="008252C5"/>
    <w:rsid w:val="00831860"/>
    <w:rsid w:val="00832F2D"/>
    <w:rsid w:val="00836C6A"/>
    <w:rsid w:val="00837172"/>
    <w:rsid w:val="00841C9F"/>
    <w:rsid w:val="0084294E"/>
    <w:rsid w:val="00843EFF"/>
    <w:rsid w:val="008442A5"/>
    <w:rsid w:val="0084532B"/>
    <w:rsid w:val="008477A9"/>
    <w:rsid w:val="0085416A"/>
    <w:rsid w:val="00856B0F"/>
    <w:rsid w:val="00863789"/>
    <w:rsid w:val="0087186A"/>
    <w:rsid w:val="00872C56"/>
    <w:rsid w:val="00874F67"/>
    <w:rsid w:val="00876AC2"/>
    <w:rsid w:val="00883F43"/>
    <w:rsid w:val="00884C98"/>
    <w:rsid w:val="00884CE2"/>
    <w:rsid w:val="00885E7D"/>
    <w:rsid w:val="0089363F"/>
    <w:rsid w:val="00894D05"/>
    <w:rsid w:val="00896ED8"/>
    <w:rsid w:val="008A209D"/>
    <w:rsid w:val="008A2436"/>
    <w:rsid w:val="008A4E8C"/>
    <w:rsid w:val="008A563D"/>
    <w:rsid w:val="008B3B0A"/>
    <w:rsid w:val="008C20C9"/>
    <w:rsid w:val="008C2BA0"/>
    <w:rsid w:val="008C69F2"/>
    <w:rsid w:val="008D1D44"/>
    <w:rsid w:val="008D3E6C"/>
    <w:rsid w:val="008E04EC"/>
    <w:rsid w:val="008E43F4"/>
    <w:rsid w:val="008F42F6"/>
    <w:rsid w:val="008F4A47"/>
    <w:rsid w:val="008F5282"/>
    <w:rsid w:val="00912BAC"/>
    <w:rsid w:val="00925058"/>
    <w:rsid w:val="00926CDB"/>
    <w:rsid w:val="00930113"/>
    <w:rsid w:val="009356EC"/>
    <w:rsid w:val="00937FB2"/>
    <w:rsid w:val="0094114F"/>
    <w:rsid w:val="0095690D"/>
    <w:rsid w:val="009609C5"/>
    <w:rsid w:val="00965B1A"/>
    <w:rsid w:val="00971B57"/>
    <w:rsid w:val="00976933"/>
    <w:rsid w:val="00981893"/>
    <w:rsid w:val="00984974"/>
    <w:rsid w:val="00986438"/>
    <w:rsid w:val="00987DBF"/>
    <w:rsid w:val="009940BB"/>
    <w:rsid w:val="009970F9"/>
    <w:rsid w:val="009A5590"/>
    <w:rsid w:val="009A64CE"/>
    <w:rsid w:val="009C3837"/>
    <w:rsid w:val="009C44BD"/>
    <w:rsid w:val="009C537F"/>
    <w:rsid w:val="009C74C7"/>
    <w:rsid w:val="009D0585"/>
    <w:rsid w:val="009D2BB3"/>
    <w:rsid w:val="009E0846"/>
    <w:rsid w:val="009E1EF4"/>
    <w:rsid w:val="009E1F32"/>
    <w:rsid w:val="009E499C"/>
    <w:rsid w:val="009E4BD5"/>
    <w:rsid w:val="009F1BE0"/>
    <w:rsid w:val="009F7CED"/>
    <w:rsid w:val="00A04569"/>
    <w:rsid w:val="00A0736A"/>
    <w:rsid w:val="00A07DE7"/>
    <w:rsid w:val="00A120D6"/>
    <w:rsid w:val="00A1301A"/>
    <w:rsid w:val="00A14C37"/>
    <w:rsid w:val="00A161B9"/>
    <w:rsid w:val="00A219D7"/>
    <w:rsid w:val="00A2785C"/>
    <w:rsid w:val="00A3270F"/>
    <w:rsid w:val="00A33DCF"/>
    <w:rsid w:val="00A377FE"/>
    <w:rsid w:val="00A4128C"/>
    <w:rsid w:val="00A41AEF"/>
    <w:rsid w:val="00A447B3"/>
    <w:rsid w:val="00A500DD"/>
    <w:rsid w:val="00A52C3F"/>
    <w:rsid w:val="00A54D5A"/>
    <w:rsid w:val="00A55DB6"/>
    <w:rsid w:val="00A61784"/>
    <w:rsid w:val="00A64120"/>
    <w:rsid w:val="00A72973"/>
    <w:rsid w:val="00A74AFD"/>
    <w:rsid w:val="00A80613"/>
    <w:rsid w:val="00A83A98"/>
    <w:rsid w:val="00A845F1"/>
    <w:rsid w:val="00A85AEA"/>
    <w:rsid w:val="00A94019"/>
    <w:rsid w:val="00A951E5"/>
    <w:rsid w:val="00AA28E8"/>
    <w:rsid w:val="00AA658B"/>
    <w:rsid w:val="00AB0708"/>
    <w:rsid w:val="00AB0C45"/>
    <w:rsid w:val="00AB6652"/>
    <w:rsid w:val="00AC1AF8"/>
    <w:rsid w:val="00AC447D"/>
    <w:rsid w:val="00AD5446"/>
    <w:rsid w:val="00AD623F"/>
    <w:rsid w:val="00AE03F3"/>
    <w:rsid w:val="00AF5E71"/>
    <w:rsid w:val="00B13AE3"/>
    <w:rsid w:val="00B25550"/>
    <w:rsid w:val="00B27EF2"/>
    <w:rsid w:val="00B30DCD"/>
    <w:rsid w:val="00B377D3"/>
    <w:rsid w:val="00B4178F"/>
    <w:rsid w:val="00B4216E"/>
    <w:rsid w:val="00B448DC"/>
    <w:rsid w:val="00B463AC"/>
    <w:rsid w:val="00B51095"/>
    <w:rsid w:val="00B6123C"/>
    <w:rsid w:val="00B61CA6"/>
    <w:rsid w:val="00B65F1B"/>
    <w:rsid w:val="00B66D03"/>
    <w:rsid w:val="00B7000F"/>
    <w:rsid w:val="00B729FC"/>
    <w:rsid w:val="00B73EC6"/>
    <w:rsid w:val="00B766E4"/>
    <w:rsid w:val="00B8326D"/>
    <w:rsid w:val="00B84AF8"/>
    <w:rsid w:val="00B937B6"/>
    <w:rsid w:val="00BA2AF8"/>
    <w:rsid w:val="00BA3E7F"/>
    <w:rsid w:val="00BA450F"/>
    <w:rsid w:val="00BB3919"/>
    <w:rsid w:val="00BB545F"/>
    <w:rsid w:val="00BC4EAB"/>
    <w:rsid w:val="00BD4B65"/>
    <w:rsid w:val="00BE280C"/>
    <w:rsid w:val="00BF054E"/>
    <w:rsid w:val="00BF0DB9"/>
    <w:rsid w:val="00BF5B5E"/>
    <w:rsid w:val="00C01099"/>
    <w:rsid w:val="00C12B93"/>
    <w:rsid w:val="00C134C3"/>
    <w:rsid w:val="00C26C14"/>
    <w:rsid w:val="00C27D76"/>
    <w:rsid w:val="00C31D59"/>
    <w:rsid w:val="00C36892"/>
    <w:rsid w:val="00C4009A"/>
    <w:rsid w:val="00C401C2"/>
    <w:rsid w:val="00C46330"/>
    <w:rsid w:val="00C47F73"/>
    <w:rsid w:val="00C52E86"/>
    <w:rsid w:val="00C55FE8"/>
    <w:rsid w:val="00C6077B"/>
    <w:rsid w:val="00C61441"/>
    <w:rsid w:val="00C7294E"/>
    <w:rsid w:val="00C8181B"/>
    <w:rsid w:val="00C91F90"/>
    <w:rsid w:val="00CA57DF"/>
    <w:rsid w:val="00CB0063"/>
    <w:rsid w:val="00CB4D37"/>
    <w:rsid w:val="00CB66F7"/>
    <w:rsid w:val="00CC0C62"/>
    <w:rsid w:val="00CC259C"/>
    <w:rsid w:val="00CC42D1"/>
    <w:rsid w:val="00CC5B3E"/>
    <w:rsid w:val="00CD7558"/>
    <w:rsid w:val="00CE1A87"/>
    <w:rsid w:val="00CF25EF"/>
    <w:rsid w:val="00D04A96"/>
    <w:rsid w:val="00D05B67"/>
    <w:rsid w:val="00D05D52"/>
    <w:rsid w:val="00D17C65"/>
    <w:rsid w:val="00D2243E"/>
    <w:rsid w:val="00D24980"/>
    <w:rsid w:val="00D26D53"/>
    <w:rsid w:val="00D30CA5"/>
    <w:rsid w:val="00D31F43"/>
    <w:rsid w:val="00D40E59"/>
    <w:rsid w:val="00D415E6"/>
    <w:rsid w:val="00D444C5"/>
    <w:rsid w:val="00D530DC"/>
    <w:rsid w:val="00D62023"/>
    <w:rsid w:val="00D7070F"/>
    <w:rsid w:val="00D709DD"/>
    <w:rsid w:val="00D75771"/>
    <w:rsid w:val="00D8294A"/>
    <w:rsid w:val="00D83F98"/>
    <w:rsid w:val="00D84A75"/>
    <w:rsid w:val="00D85F90"/>
    <w:rsid w:val="00D90649"/>
    <w:rsid w:val="00D91E89"/>
    <w:rsid w:val="00D9213D"/>
    <w:rsid w:val="00D965B1"/>
    <w:rsid w:val="00D97DF9"/>
    <w:rsid w:val="00DA6526"/>
    <w:rsid w:val="00DA6C54"/>
    <w:rsid w:val="00DB0394"/>
    <w:rsid w:val="00DC1FED"/>
    <w:rsid w:val="00DC54A3"/>
    <w:rsid w:val="00DD0AAD"/>
    <w:rsid w:val="00DD181C"/>
    <w:rsid w:val="00DD2F2C"/>
    <w:rsid w:val="00DD48D9"/>
    <w:rsid w:val="00DE1540"/>
    <w:rsid w:val="00DE520C"/>
    <w:rsid w:val="00DF1E66"/>
    <w:rsid w:val="00DF5093"/>
    <w:rsid w:val="00DF60FD"/>
    <w:rsid w:val="00DF6410"/>
    <w:rsid w:val="00E007F7"/>
    <w:rsid w:val="00E00F4C"/>
    <w:rsid w:val="00E05F18"/>
    <w:rsid w:val="00E06A27"/>
    <w:rsid w:val="00E12202"/>
    <w:rsid w:val="00E242C5"/>
    <w:rsid w:val="00E24673"/>
    <w:rsid w:val="00E24F26"/>
    <w:rsid w:val="00E2527F"/>
    <w:rsid w:val="00E261B4"/>
    <w:rsid w:val="00E31E85"/>
    <w:rsid w:val="00E407FF"/>
    <w:rsid w:val="00E40C34"/>
    <w:rsid w:val="00E41E2C"/>
    <w:rsid w:val="00E44207"/>
    <w:rsid w:val="00E66C57"/>
    <w:rsid w:val="00E66D00"/>
    <w:rsid w:val="00E7224C"/>
    <w:rsid w:val="00E729F2"/>
    <w:rsid w:val="00E75DBD"/>
    <w:rsid w:val="00E805D3"/>
    <w:rsid w:val="00E80826"/>
    <w:rsid w:val="00E84DA1"/>
    <w:rsid w:val="00E859E6"/>
    <w:rsid w:val="00E91332"/>
    <w:rsid w:val="00EA3045"/>
    <w:rsid w:val="00EC1DE8"/>
    <w:rsid w:val="00EC35AE"/>
    <w:rsid w:val="00ED4708"/>
    <w:rsid w:val="00EE0D69"/>
    <w:rsid w:val="00EE0F26"/>
    <w:rsid w:val="00EE2ABB"/>
    <w:rsid w:val="00EE758E"/>
    <w:rsid w:val="00EF192B"/>
    <w:rsid w:val="00F06B8A"/>
    <w:rsid w:val="00F07A7D"/>
    <w:rsid w:val="00F07FFC"/>
    <w:rsid w:val="00F10BD4"/>
    <w:rsid w:val="00F11F2B"/>
    <w:rsid w:val="00F153C1"/>
    <w:rsid w:val="00F16839"/>
    <w:rsid w:val="00F211E7"/>
    <w:rsid w:val="00F21D37"/>
    <w:rsid w:val="00F221F0"/>
    <w:rsid w:val="00F232CB"/>
    <w:rsid w:val="00F26136"/>
    <w:rsid w:val="00F2713B"/>
    <w:rsid w:val="00F305D8"/>
    <w:rsid w:val="00F37106"/>
    <w:rsid w:val="00F44A2E"/>
    <w:rsid w:val="00F47D57"/>
    <w:rsid w:val="00F55DC4"/>
    <w:rsid w:val="00F576B3"/>
    <w:rsid w:val="00F57BCD"/>
    <w:rsid w:val="00F745E1"/>
    <w:rsid w:val="00F75A79"/>
    <w:rsid w:val="00F7620E"/>
    <w:rsid w:val="00F775AD"/>
    <w:rsid w:val="00F80E07"/>
    <w:rsid w:val="00F90326"/>
    <w:rsid w:val="00F90F86"/>
    <w:rsid w:val="00F91EAE"/>
    <w:rsid w:val="00F92DF0"/>
    <w:rsid w:val="00F962AF"/>
    <w:rsid w:val="00FA0454"/>
    <w:rsid w:val="00FA4A9E"/>
    <w:rsid w:val="00FB1248"/>
    <w:rsid w:val="00FB217D"/>
    <w:rsid w:val="00FB29CC"/>
    <w:rsid w:val="00FC0522"/>
    <w:rsid w:val="00FC2DE3"/>
    <w:rsid w:val="00FD3D04"/>
    <w:rsid w:val="00FD49A0"/>
    <w:rsid w:val="00FE27DE"/>
    <w:rsid w:val="00FF66CA"/>
    <w:rsid w:val="00FF6B27"/>
    <w:rsid w:val="10FE86E3"/>
    <w:rsid w:val="116087EA"/>
    <w:rsid w:val="180E02C2"/>
    <w:rsid w:val="202E4B8D"/>
    <w:rsid w:val="248E0786"/>
    <w:rsid w:val="28AF1057"/>
    <w:rsid w:val="2988AF00"/>
    <w:rsid w:val="2AF96E6D"/>
    <w:rsid w:val="2B2516D9"/>
    <w:rsid w:val="30BDB8DB"/>
    <w:rsid w:val="33BEE587"/>
    <w:rsid w:val="38E5ED50"/>
    <w:rsid w:val="40E8AEE4"/>
    <w:rsid w:val="4BC52067"/>
    <w:rsid w:val="4C77AD8D"/>
    <w:rsid w:val="4CDF8F02"/>
    <w:rsid w:val="4FEBE7A8"/>
    <w:rsid w:val="55C84603"/>
    <w:rsid w:val="5919A460"/>
    <w:rsid w:val="6DF805ED"/>
    <w:rsid w:val="79D6170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0E9B5F44"/>
  <w15:chartTrackingRefBased/>
  <w15:docId w15:val="{E1733714-77BD-4A30-BD08-AA81ED2E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character" w:customStyle="1" w:styleId="InitialStyle">
    <w:name w:val="InitialStyle"/>
    <w:rPr>
      <w:rFonts w:ascii="Courier New" w:hAnsi="Courier New"/>
      <w:color w:val="auto"/>
      <w:spacing w:val="0"/>
      <w:sz w:val="28"/>
    </w:rPr>
  </w:style>
  <w:style w:type="paragraph" w:customStyle="1" w:styleId="BodyText20">
    <w:name w:val="Body Text 20"/>
    <w:basedOn w:val="Normal"/>
    <w:rsid w:val="003227FD"/>
    <w:pPr>
      <w:spacing w:after="120" w:line="480" w:lineRule="auto"/>
    </w:pPr>
  </w:style>
  <w:style w:type="paragraph" w:styleId="Encabezado">
    <w:name w:val="header"/>
    <w:basedOn w:val="Normal"/>
    <w:link w:val="EncabezadoCar"/>
    <w:uiPriority w:val="99"/>
    <w:rsid w:val="00A2785C"/>
    <w:pPr>
      <w:tabs>
        <w:tab w:val="center" w:pos="4252"/>
        <w:tab w:val="right" w:pos="8504"/>
      </w:tabs>
    </w:pPr>
  </w:style>
  <w:style w:type="character" w:customStyle="1" w:styleId="EncabezadoCar">
    <w:name w:val="Encabezado Car"/>
    <w:link w:val="Encabezado"/>
    <w:uiPriority w:val="99"/>
    <w:rsid w:val="0033662F"/>
    <w:rPr>
      <w:rFonts w:ascii="Arial" w:hAnsi="Arial"/>
      <w:lang w:val="es-ES" w:eastAsia="es-ES"/>
    </w:rPr>
  </w:style>
  <w:style w:type="paragraph" w:styleId="Piedepgina">
    <w:name w:val="footer"/>
    <w:basedOn w:val="Normal"/>
    <w:link w:val="PiedepginaCar"/>
    <w:uiPriority w:val="99"/>
    <w:rsid w:val="00A2785C"/>
    <w:pPr>
      <w:tabs>
        <w:tab w:val="center" w:pos="4252"/>
        <w:tab w:val="right" w:pos="8504"/>
      </w:tabs>
    </w:pPr>
  </w:style>
  <w:style w:type="character" w:customStyle="1" w:styleId="PiedepginaCar">
    <w:name w:val="Pie de página Car"/>
    <w:link w:val="Piedepgina"/>
    <w:uiPriority w:val="99"/>
    <w:rsid w:val="00B4178F"/>
    <w:rPr>
      <w:rFonts w:ascii="Arial" w:hAnsi="Arial"/>
      <w:lang w:val="es-ES" w:eastAsia="es-ES"/>
    </w:r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aliases w:val="Texto nota pie Car Car Car Car Car Car,FN,Footnote Text Char Char Char Char Char,Footnote Text Char Char Char Char,Footnote reference,FA Fu,Footnote Text Char,Footnote Text Char Char Char Char Char Char Char Char,ft,Footnote referen"/>
    <w:basedOn w:val="Normal"/>
    <w:link w:val="TextonotapieCar"/>
    <w:uiPriority w:val="99"/>
    <w:qFormat/>
    <w:rsid w:val="00925058"/>
    <w:rPr>
      <w:rFonts w:ascii="Times" w:eastAsia="Times" w:hAnsi="Times"/>
      <w:lang w:val="en-US"/>
    </w:rPr>
  </w:style>
  <w:style w:type="character" w:customStyle="1" w:styleId="TextonotapieCar">
    <w:name w:val="Texto nota pie Car"/>
    <w:aliases w:val="Texto nota pie Car Car Car Car Car Car Car,FN Car,Footnote Text Char Char Char Char Char Car,Footnote Text Char Char Char Char Car,Footnote reference Car,FA Fu Car,Footnote Text Char Car,ft Car,Footnote referen Car"/>
    <w:link w:val="Textonotapie"/>
    <w:uiPriority w:val="99"/>
    <w:rsid w:val="00925058"/>
    <w:rPr>
      <w:rFonts w:ascii="Times" w:eastAsia="Times" w:hAnsi="Times"/>
      <w:lang w:val="en-US" w:eastAsia="es-ES"/>
    </w:rPr>
  </w:style>
  <w:style w:type="character" w:styleId="Refdenotaalpie">
    <w:name w:val="footnote reference"/>
    <w:aliases w:val="Ref,de nota al pie,Appel note de bas de p,Footnote Reference/,referencia nota al pie,Appel note de bas de page,Texto de nota al pie,Footnotes refss,Footnote number,BVI fnr,f,FC,Appel note de bas de p + 11 pt,Italic,Footnote,o,fr"/>
    <w:uiPriority w:val="99"/>
    <w:rsid w:val="00925058"/>
    <w:rPr>
      <w:vertAlign w:val="superscript"/>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s - bolitas 3er nivel,lp1,Scitum normal"/>
    <w:basedOn w:val="Normal"/>
    <w:link w:val="PrrafodelistaCar"/>
    <w:uiPriority w:val="34"/>
    <w:qFormat/>
    <w:rsid w:val="007C41D1"/>
    <w:pPr>
      <w:ind w:left="720"/>
      <w:contextualSpacing/>
    </w:pPr>
    <w:rPr>
      <w:rFonts w:ascii="Times New Roman" w:eastAsia="Calibri" w:hAnsi="Times New Roman"/>
      <w:sz w:val="24"/>
      <w:szCs w:val="24"/>
      <w:lang w:val="es-CO" w:eastAsia="es-CO"/>
    </w:rPr>
  </w:style>
  <w:style w:type="character" w:customStyle="1" w:styleId="PrrafodelistaCar">
    <w:name w:val="Párrafo de lista Car"/>
    <w:aliases w:val="Viñetas - bolitas 3er nivel Car,lp1 Car,Scitum normal Car"/>
    <w:link w:val="Prrafodelista"/>
    <w:uiPriority w:val="34"/>
    <w:rsid w:val="002061C5"/>
    <w:rPr>
      <w:rFonts w:eastAsia="Calibri"/>
      <w:sz w:val="24"/>
      <w:szCs w:val="24"/>
    </w:rPr>
  </w:style>
  <w:style w:type="paragraph" w:customStyle="1" w:styleId="BodyText21">
    <w:name w:val="Body Text 21"/>
    <w:basedOn w:val="Normal"/>
    <w:rsid w:val="00D30CA5"/>
    <w:pPr>
      <w:overflowPunct w:val="0"/>
      <w:autoSpaceDE w:val="0"/>
      <w:autoSpaceDN w:val="0"/>
      <w:adjustRightInd w:val="0"/>
      <w:ind w:right="902"/>
      <w:textAlignment w:val="baseline"/>
    </w:pPr>
    <w:rPr>
      <w:rFonts w:ascii="Verdana" w:hAnsi="Verdana"/>
      <w:sz w:val="18"/>
      <w:lang w:val="es-CO"/>
    </w:rPr>
  </w:style>
  <w:style w:type="paragraph" w:customStyle="1" w:styleId="BodyText31">
    <w:name w:val="Body Text 31"/>
    <w:basedOn w:val="Normal"/>
    <w:rsid w:val="00D30CA5"/>
    <w:pPr>
      <w:widowControl w:val="0"/>
      <w:overflowPunct w:val="0"/>
      <w:autoSpaceDE w:val="0"/>
      <w:autoSpaceDN w:val="0"/>
      <w:adjustRightInd w:val="0"/>
      <w:jc w:val="both"/>
      <w:textAlignment w:val="baseline"/>
    </w:pPr>
    <w:rPr>
      <w:b/>
      <w:sz w:val="24"/>
      <w:lang w:val="es-CO"/>
    </w:rPr>
  </w:style>
  <w:style w:type="paragraph" w:customStyle="1" w:styleId="MediumGrid21">
    <w:name w:val="Medium Grid 21"/>
    <w:qFormat/>
    <w:rsid w:val="00D30CA5"/>
    <w:rPr>
      <w:rFonts w:ascii="Calibri" w:eastAsia="Calibri" w:hAnsi="Calibri"/>
      <w:sz w:val="22"/>
      <w:szCs w:val="22"/>
      <w:lang w:val="es-CO" w:eastAsia="en-US"/>
    </w:rPr>
  </w:style>
  <w:style w:type="character" w:styleId="Mencinsinresolver">
    <w:name w:val="Unresolved Mention"/>
    <w:basedOn w:val="Fuentedeprrafopredeter"/>
    <w:uiPriority w:val="99"/>
    <w:semiHidden/>
    <w:unhideWhenUsed/>
    <w:rsid w:val="00DB0394"/>
    <w:rPr>
      <w:color w:val="605E5C"/>
      <w:shd w:val="clear" w:color="auto" w:fill="E1DFDD"/>
    </w:rPr>
  </w:style>
  <w:style w:type="character" w:styleId="Hipervnculovisitado">
    <w:name w:val="FollowedHyperlink"/>
    <w:basedOn w:val="Fuentedeprrafopredeter"/>
    <w:rsid w:val="00541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sroom.cisco.com/press-release-content?type=webcontent&amp;articleId=2055169" TargetMode="External"/><Relationship Id="rId2" Type="http://schemas.openxmlformats.org/officeDocument/2006/relationships/hyperlink" Target="https://www.ofcom.org.uk/manage-your-licence/radiocommunication-licences/non-operational-licences" TargetMode="External"/><Relationship Id="rId1" Type="http://schemas.openxmlformats.org/officeDocument/2006/relationships/hyperlink" Target="https://www.idc.com/getdoc.jsp?containerId=prUS44432518" TargetMode="External"/><Relationship Id="rId5" Type="http://schemas.openxmlformats.org/officeDocument/2006/relationships/hyperlink" Target="https://www.ericsson.com/4adc87/assets/local/mobility-report/documents/2020/november-2020-ericsson-mobility-report.pdf" TargetMode="External"/><Relationship Id="rId4" Type="http://schemas.openxmlformats.org/officeDocument/2006/relationships/hyperlink" Target="http://www-file.huawei.com/~/media/CORPORATE/PDF/mbb/huawei-mbb-report-final.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95BE1C5784DE498D8E92E70886F4E5" ma:contentTypeVersion="12" ma:contentTypeDescription="Crear nuevo documento." ma:contentTypeScope="" ma:versionID="ab947a106a798cd8789d60024cdeddd2">
  <xsd:schema xmlns:xsd="http://www.w3.org/2001/XMLSchema" xmlns:xs="http://www.w3.org/2001/XMLSchema" xmlns:p="http://schemas.microsoft.com/office/2006/metadata/properties" xmlns:ns3="e836ba59-670f-4337-bd6c-579e1a13d40c" xmlns:ns4="ac9ad953-fae7-4a6e-a16b-a4e92b5d59c9" targetNamespace="http://schemas.microsoft.com/office/2006/metadata/properties" ma:root="true" ma:fieldsID="b63738fa1f51bad1e3971adf23a4aae9" ns3:_="" ns4:_="">
    <xsd:import namespace="e836ba59-670f-4337-bd6c-579e1a13d40c"/>
    <xsd:import namespace="ac9ad953-fae7-4a6e-a16b-a4e92b5d59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6ba59-670f-4337-bd6c-579e1a13d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ad953-fae7-4a6e-a16b-a4e92b5d59c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7AB3A-A859-4F57-B450-557EEED2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6ba59-670f-4337-bd6c-579e1a13d40c"/>
    <ds:schemaRef ds:uri="ac9ad953-fae7-4a6e-a16b-a4e92b5d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AA65B-FD85-4743-8088-803B13DEF04A}">
  <ds:schemaRefs>
    <ds:schemaRef ds:uri="http://schemas.microsoft.com/sharepoint/v3/contenttype/forms"/>
  </ds:schemaRefs>
</ds:datastoreItem>
</file>

<file path=customXml/itemProps3.xml><?xml version="1.0" encoding="utf-8"?>
<ds:datastoreItem xmlns:ds="http://schemas.openxmlformats.org/officeDocument/2006/customXml" ds:itemID="{2C74C24E-DE93-45DC-BB76-0EA2390D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1695</Words>
  <Characters>9325</Characters>
  <Application>Microsoft Office Word</Application>
  <DocSecurity>4</DocSecurity>
  <Lines>77</Lines>
  <Paragraphs>21</Paragraphs>
  <ScaleCrop>false</ScaleCrop>
  <Company>dafp</Company>
  <LinksUpToDate>false</LinksUpToDate>
  <CharactersWithSpaces>10999</CharactersWithSpaces>
  <SharedDoc>false</SharedDoc>
  <HLinks>
    <vt:vector size="30" baseType="variant">
      <vt:variant>
        <vt:i4>8257570</vt:i4>
      </vt:variant>
      <vt:variant>
        <vt:i4>12</vt:i4>
      </vt:variant>
      <vt:variant>
        <vt:i4>0</vt:i4>
      </vt:variant>
      <vt:variant>
        <vt:i4>5</vt:i4>
      </vt:variant>
      <vt:variant>
        <vt:lpwstr>https://www.ericsson.com/4adc87/assets/local/mobility-report/documents/2020/november-2020-ericsson-mobility-report.pdf</vt:lpwstr>
      </vt:variant>
      <vt:variant>
        <vt:lpwstr/>
      </vt:variant>
      <vt:variant>
        <vt:i4>2228257</vt:i4>
      </vt:variant>
      <vt:variant>
        <vt:i4>9</vt:i4>
      </vt:variant>
      <vt:variant>
        <vt:i4>0</vt:i4>
      </vt:variant>
      <vt:variant>
        <vt:i4>5</vt:i4>
      </vt:variant>
      <vt:variant>
        <vt:lpwstr>http://www-file.huawei.com/~/media/CORPORATE/PDF/mbb/huawei-mbb-report-final.pdf?la=en</vt:lpwstr>
      </vt:variant>
      <vt:variant>
        <vt:lpwstr/>
      </vt:variant>
      <vt:variant>
        <vt:i4>2818110</vt:i4>
      </vt:variant>
      <vt:variant>
        <vt:i4>6</vt:i4>
      </vt:variant>
      <vt:variant>
        <vt:i4>0</vt:i4>
      </vt:variant>
      <vt:variant>
        <vt:i4>5</vt:i4>
      </vt:variant>
      <vt:variant>
        <vt:lpwstr>https://newsroom.cisco.com/press-release-content?type=webcontent&amp;articleId=2055169</vt:lpwstr>
      </vt:variant>
      <vt:variant>
        <vt:lpwstr>:~:text=There%20will%20be%20nearly%2030,all%20public%20Wi%2DFi%20hotspots</vt:lpwstr>
      </vt:variant>
      <vt:variant>
        <vt:i4>5242968</vt:i4>
      </vt:variant>
      <vt:variant>
        <vt:i4>3</vt:i4>
      </vt:variant>
      <vt:variant>
        <vt:i4>0</vt:i4>
      </vt:variant>
      <vt:variant>
        <vt:i4>5</vt:i4>
      </vt:variant>
      <vt:variant>
        <vt:lpwstr>https://www.ofcom.org.uk/manage-your-licence/radiocommunication-licences/non-operational-licences</vt:lpwstr>
      </vt:variant>
      <vt:variant>
        <vt:lpwstr/>
      </vt:variant>
      <vt:variant>
        <vt:i4>2621482</vt:i4>
      </vt:variant>
      <vt:variant>
        <vt:i4>0</vt:i4>
      </vt:variant>
      <vt:variant>
        <vt:i4>0</vt:i4>
      </vt:variant>
      <vt:variant>
        <vt:i4>5</vt:i4>
      </vt:variant>
      <vt:variant>
        <vt:lpwstr>https://www.idc.com/getdoc.jsp?containerId=prUS44432518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Geusseppe González Cárdenas</cp:lastModifiedBy>
  <cp:revision>36</cp:revision>
  <cp:lastPrinted>2021-01-08T03:25:00Z</cp:lastPrinted>
  <dcterms:created xsi:type="dcterms:W3CDTF">2021-03-19T17:56:00Z</dcterms:created>
  <dcterms:modified xsi:type="dcterms:W3CDTF">2021-05-26T20:15:00Z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0x0101007895BE1C5784DE498D8E92E70886F4E5</vt:lpwstr>
  </property>
</Properties>
</file>