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4703C" w14:textId="77777777" w:rsidR="006F28A1" w:rsidRPr="0073158E" w:rsidRDefault="006F28A1" w:rsidP="006F28A1">
      <w:pPr>
        <w:jc w:val="center"/>
        <w:rPr>
          <w:rFonts w:ascii="Arial Narrow" w:hAnsi="Arial Narrow" w:cs="Tahoma"/>
          <w:b/>
          <w:bCs/>
          <w:color w:val="000000"/>
        </w:rPr>
      </w:pPr>
      <w:r w:rsidRPr="0073158E">
        <w:rPr>
          <w:rFonts w:ascii="Arial Narrow" w:hAnsi="Arial Narrow" w:cs="Tahoma"/>
          <w:b/>
          <w:bCs/>
          <w:color w:val="000000"/>
        </w:rPr>
        <w:t xml:space="preserve">Anexo Técnico Implementación Proyecto Modificatorio, </w:t>
      </w:r>
    </w:p>
    <w:p w14:paraId="76327AE5" w14:textId="77777777" w:rsidR="006F28A1" w:rsidRPr="0073158E" w:rsidRDefault="006F28A1" w:rsidP="006F28A1">
      <w:pPr>
        <w:jc w:val="center"/>
        <w:rPr>
          <w:rFonts w:ascii="Arial Narrow" w:hAnsi="Arial Narrow" w:cs="Tahoma"/>
          <w:b/>
          <w:bCs/>
          <w:color w:val="000000"/>
        </w:rPr>
      </w:pPr>
      <w:r w:rsidRPr="0073158E">
        <w:rPr>
          <w:rFonts w:ascii="Arial Narrow" w:hAnsi="Arial Narrow" w:cs="Tahoma"/>
          <w:b/>
          <w:bCs/>
          <w:color w:val="000000"/>
        </w:rPr>
        <w:t xml:space="preserve">Resolución 1292 de 2021 </w:t>
      </w:r>
    </w:p>
    <w:p w14:paraId="09A19FE0" w14:textId="77777777" w:rsidR="006F28A1" w:rsidRPr="0073158E" w:rsidRDefault="006F28A1" w:rsidP="006F28A1">
      <w:pPr>
        <w:jc w:val="both"/>
        <w:rPr>
          <w:rFonts w:ascii="Arial Narrow" w:hAnsi="Arial Narrow" w:cs="Tahoma"/>
          <w:color w:val="000000"/>
        </w:rPr>
      </w:pPr>
    </w:p>
    <w:p w14:paraId="187F1172" w14:textId="77777777" w:rsidR="006F28A1" w:rsidRPr="0073158E" w:rsidRDefault="006F28A1" w:rsidP="006F28A1">
      <w:pPr>
        <w:jc w:val="both"/>
        <w:rPr>
          <w:rFonts w:ascii="Arial Narrow" w:hAnsi="Arial Narrow" w:cs="Arial"/>
          <w:color w:val="000000"/>
        </w:rPr>
      </w:pPr>
      <w:r w:rsidRPr="0073158E">
        <w:rPr>
          <w:rFonts w:ascii="Arial Narrow" w:hAnsi="Arial Narrow" w:cs="Tahoma"/>
          <w:color w:val="000000"/>
        </w:rPr>
        <w:t>El parágrafo 2 del artículo 4 de la Ley 1369 de 2009, de 2009</w:t>
      </w:r>
      <w:r w:rsidRPr="0073158E">
        <w:rPr>
          <w:rStyle w:val="Refdenotaalpie"/>
          <w:rFonts w:ascii="Arial Narrow" w:hAnsi="Arial Narrow" w:cs="Tahoma"/>
          <w:color w:val="000000"/>
        </w:rPr>
        <w:footnoteReference w:id="1"/>
      </w:r>
      <w:r w:rsidRPr="0073158E">
        <w:rPr>
          <w:rFonts w:ascii="Arial Narrow" w:hAnsi="Arial Narrow" w:cs="Tahoma"/>
          <w:color w:val="000000"/>
        </w:rPr>
        <w:t xml:space="preserve"> confiere al Ministerio de Tecnologías de la Información y las Comunicaciones la facultad para regular los requisitos de administración y mitigación de riesgos para los interesados en prestar el servicio postal de pago, </w:t>
      </w:r>
      <w:r w:rsidRPr="0073158E">
        <w:rPr>
          <w:rFonts w:ascii="Arial Narrow" w:hAnsi="Arial Narrow" w:cs="Arial"/>
          <w:color w:val="000000"/>
        </w:rPr>
        <w:t>entre los cuales se encuentra el Sistema de Administración y Mitigación de Riesgo de Lavado de Activos y Financiación del Terrorismo LA/FT.</w:t>
      </w:r>
    </w:p>
    <w:p w14:paraId="5DCCF750" w14:textId="77777777" w:rsidR="006F28A1" w:rsidRPr="0073158E" w:rsidRDefault="006F28A1" w:rsidP="006F28A1">
      <w:pPr>
        <w:ind w:right="51"/>
        <w:jc w:val="both"/>
        <w:rPr>
          <w:rFonts w:ascii="Arial Narrow" w:hAnsi="Arial Narrow" w:cs="Arial"/>
          <w:color w:val="000000"/>
        </w:rPr>
      </w:pPr>
    </w:p>
    <w:p w14:paraId="1B389B0C" w14:textId="77777777" w:rsidR="006F28A1" w:rsidRPr="0073158E" w:rsidRDefault="006F28A1" w:rsidP="006F28A1">
      <w:pPr>
        <w:ind w:right="49"/>
        <w:jc w:val="both"/>
        <w:rPr>
          <w:rFonts w:ascii="Arial Narrow" w:hAnsi="Arial Narrow" w:cs="Arial"/>
          <w:color w:val="000000"/>
        </w:rPr>
      </w:pPr>
      <w:r w:rsidRPr="0073158E">
        <w:rPr>
          <w:rFonts w:ascii="Arial Narrow" w:hAnsi="Arial Narrow" w:cs="Arial"/>
          <w:color w:val="000000"/>
        </w:rPr>
        <w:t>En virtud de dicha facultad el Ministerio de Tecnologías de la Información y las Comunicaciones expidió la Resolución 2564 de 2016</w:t>
      </w:r>
      <w:r w:rsidRPr="0073158E">
        <w:rPr>
          <w:rStyle w:val="Refdenotaalpie"/>
          <w:rFonts w:ascii="Arial Narrow" w:hAnsi="Arial Narrow" w:cs="Arial"/>
          <w:color w:val="000000"/>
        </w:rPr>
        <w:footnoteReference w:id="2"/>
      </w:r>
      <w:r w:rsidRPr="0073158E">
        <w:rPr>
          <w:rFonts w:ascii="Arial Narrow" w:hAnsi="Arial Narrow" w:cs="Arial"/>
          <w:color w:val="000000"/>
        </w:rPr>
        <w:t xml:space="preserve">, la cual establece las reglas relativas al Sistema de Administración del Riesgo de Lavados de Activos y Financiación del Terrorismo (LA/FT) para los operadores postales de pago, </w:t>
      </w:r>
      <w:r>
        <w:rPr>
          <w:rFonts w:ascii="Arial Narrow" w:hAnsi="Arial Narrow" w:cs="Arial"/>
          <w:color w:val="000000"/>
        </w:rPr>
        <w:t xml:space="preserve">la cual está sujeta a </w:t>
      </w:r>
      <w:r w:rsidRPr="0073158E">
        <w:rPr>
          <w:rFonts w:ascii="Arial Narrow" w:hAnsi="Arial Narrow" w:cs="Arial"/>
          <w:color w:val="000000"/>
        </w:rPr>
        <w:t>revis</w:t>
      </w:r>
      <w:r>
        <w:rPr>
          <w:rFonts w:ascii="Arial Narrow" w:hAnsi="Arial Narrow" w:cs="Arial"/>
          <w:color w:val="000000"/>
        </w:rPr>
        <w:t>iones</w:t>
      </w:r>
      <w:r w:rsidRPr="0073158E">
        <w:rPr>
          <w:rFonts w:ascii="Arial Narrow" w:hAnsi="Arial Narrow" w:cs="Arial"/>
          <w:color w:val="000000"/>
        </w:rPr>
        <w:t xml:space="preserve"> y modifica</w:t>
      </w:r>
      <w:r>
        <w:rPr>
          <w:rFonts w:ascii="Arial Narrow" w:hAnsi="Arial Narrow" w:cs="Arial"/>
          <w:color w:val="000000"/>
        </w:rPr>
        <w:t>ciones</w:t>
      </w:r>
      <w:r w:rsidRPr="0073158E">
        <w:rPr>
          <w:rFonts w:ascii="Arial Narrow" w:hAnsi="Arial Narrow" w:cs="Arial"/>
          <w:color w:val="000000"/>
        </w:rPr>
        <w:t xml:space="preserve"> siempre que sea necesario, esto con la finalidad de mantener actualizado dicho sistema y así poder mitigar los riesgos que puedan permear el servicio postal de pago.</w:t>
      </w:r>
    </w:p>
    <w:p w14:paraId="65A0CCCF" w14:textId="77777777" w:rsidR="006F28A1" w:rsidRPr="0073158E" w:rsidRDefault="006F28A1" w:rsidP="006F28A1">
      <w:pPr>
        <w:ind w:right="49"/>
        <w:jc w:val="both"/>
        <w:rPr>
          <w:rFonts w:ascii="Arial Narrow" w:hAnsi="Arial Narrow" w:cs="Arial"/>
          <w:color w:val="000000"/>
        </w:rPr>
      </w:pPr>
    </w:p>
    <w:p w14:paraId="64DE1CE7" w14:textId="77777777" w:rsidR="006F28A1" w:rsidRPr="0073158E" w:rsidRDefault="006F28A1" w:rsidP="006F28A1">
      <w:pPr>
        <w:jc w:val="both"/>
        <w:rPr>
          <w:rFonts w:ascii="Arial Narrow" w:hAnsi="Arial Narrow" w:cs="Arial"/>
        </w:rPr>
      </w:pPr>
      <w:r w:rsidRPr="0073158E">
        <w:rPr>
          <w:rFonts w:ascii="Arial Narrow" w:hAnsi="Arial Narrow" w:cs="Arial"/>
          <w:color w:val="000000"/>
        </w:rPr>
        <w:t>En consonancia con lo anterior, el numeral 4.2 del artículo 3 de la Ley 1369 de 2009 establece que el operador postal de pago habilitado por el Ministerio de Tecnologías de la Información y las Comunicaciones se encuentra sometido a la reglamentación en materia de lavado de activos que disponga la ley y sus decretos reglamentarios. Así mismo,</w:t>
      </w:r>
      <w:r w:rsidRPr="0073158E">
        <w:rPr>
          <w:rFonts w:ascii="Arial Narrow" w:hAnsi="Arial Narrow" w:cs="Arial"/>
        </w:rPr>
        <w:t xml:space="preserve"> la Ley 1186 de 2009</w:t>
      </w:r>
      <w:r w:rsidRPr="0073158E">
        <w:rPr>
          <w:rStyle w:val="Refdenotaalpie"/>
          <w:rFonts w:ascii="Arial Narrow" w:hAnsi="Arial Narrow" w:cs="Arial"/>
        </w:rPr>
        <w:footnoteReference w:id="3"/>
      </w:r>
      <w:r w:rsidRPr="0073158E">
        <w:rPr>
          <w:rFonts w:ascii="Arial Narrow" w:hAnsi="Arial Narrow" w:cs="Arial"/>
        </w:rPr>
        <w:t>, declarada exequible por la Corte Constitucional  mediante Sentencia C-685-09</w:t>
      </w:r>
      <w:r w:rsidRPr="0073158E">
        <w:rPr>
          <w:rStyle w:val="Refdenotaalpie"/>
          <w:rFonts w:ascii="Arial Narrow" w:hAnsi="Arial Narrow" w:cs="Arial"/>
        </w:rPr>
        <w:footnoteReference w:id="4"/>
      </w:r>
      <w:r w:rsidRPr="0073158E">
        <w:rPr>
          <w:rFonts w:ascii="Arial Narrow" w:hAnsi="Arial Narrow" w:cs="Arial"/>
        </w:rPr>
        <w:t xml:space="preserve">, Colombia aprobó el Memorando de Entendimiento firmado en Cartagena de Indias el 8 de diciembre del 2000, mediante el cual se creó y puso en funcionamiento el Grupo de Acción Financiera de Sudamérica – GAFISUD, hoy Grupo de Acción Financiera de Latinoamérica -GAFILAT y determinó como objetivo reconocer y aplicar las Recomendaciones del </w:t>
      </w:r>
      <w:r>
        <w:rPr>
          <w:rFonts w:ascii="Arial Narrow" w:hAnsi="Arial Narrow" w:cs="Arial"/>
        </w:rPr>
        <w:t xml:space="preserve">Grupo de Acción Financiera Internacional - </w:t>
      </w:r>
      <w:r w:rsidRPr="0073158E">
        <w:rPr>
          <w:rFonts w:ascii="Arial Narrow" w:hAnsi="Arial Narrow" w:cs="Arial"/>
        </w:rPr>
        <w:t>GAFI y las recomendaciones y medidas que en el futuro adopte.</w:t>
      </w:r>
    </w:p>
    <w:p w14:paraId="3807C5DA" w14:textId="77777777" w:rsidR="006F28A1" w:rsidRDefault="006F28A1" w:rsidP="006F28A1">
      <w:pPr>
        <w:ind w:right="51"/>
        <w:jc w:val="both"/>
        <w:rPr>
          <w:rFonts w:ascii="Arial Narrow" w:hAnsi="Arial Narrow" w:cs="Arial"/>
        </w:rPr>
      </w:pPr>
    </w:p>
    <w:p w14:paraId="1D3E004F" w14:textId="77777777" w:rsidR="006F28A1" w:rsidRPr="0073158E" w:rsidRDefault="006F28A1" w:rsidP="006F28A1">
      <w:pPr>
        <w:ind w:right="51"/>
        <w:jc w:val="both"/>
        <w:rPr>
          <w:rFonts w:ascii="Arial Narrow" w:hAnsi="Arial Narrow"/>
          <w:shd w:val="clear" w:color="auto" w:fill="FFFFFF"/>
        </w:rPr>
      </w:pPr>
      <w:r>
        <w:rPr>
          <w:rFonts w:ascii="Arial Narrow" w:hAnsi="Arial Narrow"/>
          <w:shd w:val="clear" w:color="auto" w:fill="FFFFFF"/>
        </w:rPr>
        <w:t>De otro lado,</w:t>
      </w:r>
      <w:r w:rsidRPr="0073158E">
        <w:rPr>
          <w:rFonts w:ascii="Arial Narrow" w:hAnsi="Arial Narrow"/>
          <w:shd w:val="clear" w:color="auto" w:fill="FFFFFF"/>
        </w:rPr>
        <w:t xml:space="preserve"> Colombia fue evaluada por el Fondo Monetario Internacional (FMI) en el marco de la cuarta ro</w:t>
      </w:r>
      <w:r>
        <w:rPr>
          <w:rFonts w:ascii="Arial Narrow" w:hAnsi="Arial Narrow"/>
          <w:shd w:val="clear" w:color="auto" w:fill="FFFFFF"/>
        </w:rPr>
        <w:t>n</w:t>
      </w:r>
      <w:r w:rsidRPr="0073158E">
        <w:rPr>
          <w:rFonts w:ascii="Arial Narrow" w:hAnsi="Arial Narrow"/>
          <w:shd w:val="clear" w:color="auto" w:fill="FFFFFF"/>
        </w:rPr>
        <w:t xml:space="preserve">da de evaluaciones mutuas del GAFILAT, </w:t>
      </w:r>
      <w:r>
        <w:rPr>
          <w:rFonts w:ascii="Arial Narrow" w:hAnsi="Arial Narrow"/>
          <w:shd w:val="clear" w:color="auto" w:fill="FFFFFF"/>
        </w:rPr>
        <w:t xml:space="preserve">en lo relacionado </w:t>
      </w:r>
      <w:r w:rsidRPr="0073158E">
        <w:rPr>
          <w:rFonts w:ascii="Arial Narrow" w:hAnsi="Arial Narrow"/>
          <w:shd w:val="clear" w:color="auto" w:fill="FFFFFF"/>
        </w:rPr>
        <w:t xml:space="preserve">al </w:t>
      </w:r>
      <w:r w:rsidRPr="00ED2AE9">
        <w:rPr>
          <w:rFonts w:ascii="Arial Narrow" w:hAnsi="Arial Narrow"/>
          <w:shd w:val="clear" w:color="auto" w:fill="FFFFFF"/>
        </w:rPr>
        <w:t xml:space="preserve">sistema </w:t>
      </w:r>
      <w:r w:rsidRPr="000330A4">
        <w:rPr>
          <w:rFonts w:ascii="Arial Narrow" w:hAnsi="Arial Narrow"/>
          <w:shd w:val="clear" w:color="auto" w:fill="FFFFFF"/>
        </w:rPr>
        <w:t>Antilavado de Activos y Contra el Financiamiento del Terrorismo de la Republica de Colombia y su nivel de cumplimiento de las Recomendaciones del GAFI.</w:t>
      </w:r>
    </w:p>
    <w:p w14:paraId="6E9E8E71" w14:textId="77777777" w:rsidR="006F28A1" w:rsidRPr="0073158E" w:rsidRDefault="006F28A1" w:rsidP="006F28A1">
      <w:pPr>
        <w:tabs>
          <w:tab w:val="left" w:pos="1750"/>
        </w:tabs>
        <w:ind w:right="51"/>
        <w:jc w:val="both"/>
        <w:rPr>
          <w:rFonts w:ascii="Arial Narrow" w:hAnsi="Arial Narrow" w:cs="Arial"/>
          <w:color w:val="000000"/>
        </w:rPr>
      </w:pPr>
      <w:r w:rsidRPr="0073158E">
        <w:rPr>
          <w:rFonts w:ascii="Arial Narrow" w:hAnsi="Arial Narrow" w:cs="Arial"/>
          <w:color w:val="000000"/>
        </w:rPr>
        <w:tab/>
      </w:r>
    </w:p>
    <w:p w14:paraId="53CB8AA6" w14:textId="77777777" w:rsidR="006F28A1" w:rsidRPr="0073158E" w:rsidRDefault="006F28A1" w:rsidP="006F28A1">
      <w:pPr>
        <w:jc w:val="both"/>
        <w:rPr>
          <w:rFonts w:ascii="Arial Narrow" w:hAnsi="Arial Narrow" w:cs="Tahoma"/>
          <w:color w:val="000000"/>
        </w:rPr>
      </w:pPr>
      <w:r w:rsidRPr="0073158E">
        <w:rPr>
          <w:rFonts w:ascii="Arial Narrow" w:hAnsi="Arial Narrow" w:cs="Tahoma"/>
          <w:color w:val="000000"/>
        </w:rPr>
        <w:t>Como resultado de la mencionada evaluación Colombia no ingreso a la lista de países y jurisdicciones no cooperantes del GAFI y se reconoc</w:t>
      </w:r>
      <w:r>
        <w:rPr>
          <w:rFonts w:ascii="Arial Narrow" w:hAnsi="Arial Narrow" w:cs="Tahoma"/>
          <w:color w:val="000000"/>
        </w:rPr>
        <w:t>ió</w:t>
      </w:r>
      <w:r w:rsidRPr="0073158E">
        <w:rPr>
          <w:rFonts w:ascii="Arial Narrow" w:hAnsi="Arial Narrow" w:cs="Tahoma"/>
          <w:color w:val="000000"/>
        </w:rPr>
        <w:t xml:space="preserve"> que el país cuenta con un sistema confiable para la comunidad económica y financiera internacional, sin embargo, el país quedó en proceso de seguimiento intensificado ante el GAFILAT, tal como consta en el informe de evaluación publicado el día el 13 de noviembre de 2018 </w:t>
      </w:r>
      <w:r w:rsidRPr="0073158E">
        <w:rPr>
          <w:rFonts w:ascii="Arial Narrow" w:hAnsi="Arial Narrow" w:cs="Tahoma"/>
          <w:color w:val="000000"/>
        </w:rPr>
        <w:lastRenderedPageBreak/>
        <w:t>en la página web de dicho organismo</w:t>
      </w:r>
      <w:r w:rsidRPr="0073158E">
        <w:rPr>
          <w:rStyle w:val="Refdenotaalpie"/>
          <w:rFonts w:ascii="Arial Narrow" w:hAnsi="Arial Narrow" w:cs="Tahoma"/>
          <w:color w:val="000000"/>
        </w:rPr>
        <w:footnoteReference w:id="5"/>
      </w:r>
      <w:r w:rsidRPr="0073158E">
        <w:rPr>
          <w:rFonts w:ascii="Arial Narrow" w:hAnsi="Arial Narrow" w:cs="Tahoma"/>
          <w:color w:val="000000"/>
        </w:rPr>
        <w:t>.  Por lo tanto, la Unidad de Información de Análisis Financiero (UIAF) mediante el oficio registrado bajo el número 191012741 del 15 de marzo de 2019 remitió al Ministerio el p</w:t>
      </w:r>
      <w:r w:rsidRPr="0073158E">
        <w:rPr>
          <w:rFonts w:ascii="Arial Narrow" w:hAnsi="Arial Narrow" w:cs="Arial"/>
        </w:rPr>
        <w:t>lan de seguimiento intensificado ante el Grupo de Acción Financiera de Latinoamérica (</w:t>
      </w:r>
      <w:r w:rsidRPr="0073158E">
        <w:rPr>
          <w:rFonts w:ascii="Arial Narrow" w:hAnsi="Arial Narrow" w:cs="Tahoma"/>
          <w:color w:val="000000"/>
        </w:rPr>
        <w:t xml:space="preserve">GAFILAT), donde el Ministerio de Tecnologías de la Información y las Comunicaciones debe ejecutar un plan de mejora a la regulación actual, con el objetivo de superar el mencionado proceso de seguimiento intensificado. </w:t>
      </w:r>
    </w:p>
    <w:p w14:paraId="4292D70C" w14:textId="77777777" w:rsidR="006F28A1" w:rsidRPr="0073158E" w:rsidRDefault="006F28A1" w:rsidP="006F28A1">
      <w:pPr>
        <w:jc w:val="both"/>
        <w:rPr>
          <w:rFonts w:ascii="Arial Narrow" w:hAnsi="Arial Narrow" w:cs="Tahoma"/>
          <w:color w:val="000000"/>
        </w:rPr>
      </w:pPr>
    </w:p>
    <w:p w14:paraId="1650D1E9" w14:textId="77777777" w:rsidR="006F28A1" w:rsidRPr="0073158E" w:rsidRDefault="006F28A1" w:rsidP="006F28A1">
      <w:pPr>
        <w:jc w:val="both"/>
        <w:rPr>
          <w:rFonts w:ascii="Arial Narrow" w:hAnsi="Arial Narrow" w:cs="Tahoma"/>
          <w:color w:val="000000"/>
        </w:rPr>
      </w:pPr>
      <w:r>
        <w:rPr>
          <w:rFonts w:ascii="Arial Narrow" w:hAnsi="Arial Narrow"/>
        </w:rPr>
        <w:t>Adicionalmente</w:t>
      </w:r>
      <w:r w:rsidRPr="0073158E">
        <w:rPr>
          <w:rFonts w:ascii="Arial Narrow" w:hAnsi="Arial Narrow"/>
        </w:rPr>
        <w:t xml:space="preserve">, </w:t>
      </w:r>
      <w:r>
        <w:rPr>
          <w:rFonts w:ascii="Arial Narrow" w:hAnsi="Arial Narrow"/>
        </w:rPr>
        <w:t xml:space="preserve">de acuerdo con </w:t>
      </w:r>
      <w:r w:rsidRPr="0073158E">
        <w:rPr>
          <w:rFonts w:ascii="Arial Narrow" w:hAnsi="Arial Narrow"/>
        </w:rPr>
        <w:t>el proceso de revisión integral de la normatividad vigente en materia de Lavado de Activos y Financiación del Terrorismo, es necesario fortalecer las disposiciones relacionadas con la debida diligencia, para incluir dentro de las políticas de conocimiento al cliente la definición de “contraparte accionistas”, dado que estos tienen relación directa con la organización donde se realizan operaciones y transacciones, tales como incremento de patrimonio, reparto de excedentes, reparto de beneficios a terceros, entre otros, lo cual conlleva</w:t>
      </w:r>
      <w:r>
        <w:rPr>
          <w:rFonts w:ascii="Arial Narrow" w:hAnsi="Arial Narrow"/>
        </w:rPr>
        <w:t xml:space="preserve"> a</w:t>
      </w:r>
      <w:r w:rsidRPr="0073158E">
        <w:rPr>
          <w:rFonts w:ascii="Arial Narrow" w:hAnsi="Arial Narrow"/>
        </w:rPr>
        <w:t xml:space="preserve"> la necesidad de incorporarlos dentro </w:t>
      </w:r>
      <w:r>
        <w:rPr>
          <w:rFonts w:ascii="Arial Narrow" w:hAnsi="Arial Narrow"/>
        </w:rPr>
        <w:t xml:space="preserve">del </w:t>
      </w:r>
      <w:r w:rsidRPr="0073158E">
        <w:rPr>
          <w:rFonts w:ascii="Arial Narrow" w:hAnsi="Arial Narrow"/>
        </w:rPr>
        <w:t>proceso de conocimiento del cliente y contrapartes.  Este lineamiento se adiciona de acuerdo con la recomendación del GAFI 10, frente a la debida diligencia del conocimiento del cliente.</w:t>
      </w:r>
    </w:p>
    <w:p w14:paraId="3591965C" w14:textId="77777777" w:rsidR="006F28A1" w:rsidRPr="0073158E" w:rsidRDefault="006F28A1" w:rsidP="006F28A1">
      <w:pPr>
        <w:jc w:val="both"/>
        <w:rPr>
          <w:rFonts w:ascii="Arial Narrow" w:hAnsi="Arial Narrow" w:cs="Tahoma"/>
          <w:color w:val="000000"/>
        </w:rPr>
      </w:pPr>
    </w:p>
    <w:p w14:paraId="2D422289" w14:textId="77777777" w:rsidR="006F28A1" w:rsidRDefault="006F28A1" w:rsidP="006F28A1">
      <w:pPr>
        <w:jc w:val="both"/>
        <w:rPr>
          <w:rFonts w:ascii="Arial Narrow" w:hAnsi="Arial Narrow" w:cs="Arial"/>
          <w:lang w:val="es-ES"/>
        </w:rPr>
      </w:pPr>
      <w:r w:rsidRPr="0073158E">
        <w:rPr>
          <w:rFonts w:ascii="Arial Narrow" w:hAnsi="Arial Narrow" w:cs="Arial"/>
          <w:lang w:val="es-ES"/>
        </w:rPr>
        <w:t>Así las cosas, correspondió al  Ministerio de Tecnologías de la Información y las Comunicaciones modificar las</w:t>
      </w:r>
      <w:r w:rsidRPr="0073158E">
        <w:rPr>
          <w:rFonts w:ascii="Arial Narrow" w:hAnsi="Arial Narrow" w:cs="Arial"/>
        </w:rPr>
        <w:t xml:space="preserve"> reglas relativas al Sistema de Administración del Riesgo de Lavado de Activos y Financiación del Terrorismo para los Operadores Postales de Pago contenidas en la Resolución 2564 de 2016</w:t>
      </w:r>
      <w:r w:rsidRPr="0073158E">
        <w:rPr>
          <w:rFonts w:ascii="Arial Narrow" w:hAnsi="Arial Narrow" w:cs="Arial"/>
          <w:lang w:val="es-ES"/>
        </w:rPr>
        <w:t xml:space="preserve">, para incluir ajustes a la política de segmentación y </w:t>
      </w:r>
      <w:r>
        <w:rPr>
          <w:rFonts w:ascii="Arial Narrow" w:hAnsi="Arial Narrow" w:cs="Arial"/>
          <w:lang w:val="es-ES"/>
        </w:rPr>
        <w:t xml:space="preserve">acoger </w:t>
      </w:r>
      <w:r w:rsidRPr="0073158E">
        <w:rPr>
          <w:rFonts w:ascii="Arial Narrow" w:hAnsi="Arial Narrow" w:cs="Arial"/>
          <w:lang w:val="es-ES"/>
        </w:rPr>
        <w:t>las recomendaciones 10, 15 y 19 emitidas por el Grupo de Acción Financiera Internacional – GAFI, relacionada la primera de ellas con la debida diligencia, la segunda con la identificación y evaluación de los riesgos que deben realizar los operadores postales de pago cu</w:t>
      </w:r>
      <w:r>
        <w:rPr>
          <w:rFonts w:ascii="Arial Narrow" w:hAnsi="Arial Narrow" w:cs="Arial"/>
          <w:lang w:val="es-ES"/>
        </w:rPr>
        <w:t>a</w:t>
      </w:r>
      <w:r w:rsidRPr="0073158E">
        <w:rPr>
          <w:rFonts w:ascii="Arial Narrow" w:hAnsi="Arial Narrow" w:cs="Arial"/>
          <w:lang w:val="es-ES"/>
        </w:rPr>
        <w:t>ndo realicen lanzamiento de nuevos productos o nuevos canales de giros; y la tercera, referente  a las medidas  que tales operadores deben adoptar, cuando se efectúen transacciones en jurisdicciones o en zonas de frontera con países listados como de mayor riesgo por el GAFI.</w:t>
      </w:r>
    </w:p>
    <w:p w14:paraId="5D33B6D0" w14:textId="77777777" w:rsidR="006F28A1" w:rsidRPr="0073158E" w:rsidRDefault="006F28A1" w:rsidP="006F28A1">
      <w:pPr>
        <w:jc w:val="both"/>
        <w:rPr>
          <w:rFonts w:ascii="Arial Narrow" w:hAnsi="Arial Narrow" w:cs="Tahoma"/>
          <w:color w:val="000000"/>
        </w:rPr>
      </w:pPr>
    </w:p>
    <w:p w14:paraId="23F9299F" w14:textId="77777777" w:rsidR="006F28A1" w:rsidRDefault="006F28A1" w:rsidP="006F28A1">
      <w:pPr>
        <w:jc w:val="both"/>
        <w:rPr>
          <w:rFonts w:ascii="Arial Narrow" w:hAnsi="Arial Narrow" w:cs="Tahoma"/>
          <w:color w:val="000000"/>
        </w:rPr>
      </w:pPr>
      <w:r>
        <w:rPr>
          <w:rFonts w:ascii="Arial Narrow" w:hAnsi="Arial Narrow" w:cs="Tahoma"/>
          <w:color w:val="000000"/>
          <w:lang w:val="es-ES"/>
        </w:rPr>
        <w:t xml:space="preserve">En este sentido, fue </w:t>
      </w:r>
      <w:r w:rsidRPr="00A76825">
        <w:rPr>
          <w:rFonts w:ascii="Arial Narrow" w:hAnsi="Arial Narrow" w:cs="Tahoma"/>
          <w:color w:val="000000"/>
          <w:lang w:val="es-ES"/>
        </w:rPr>
        <w:t>public</w:t>
      </w:r>
      <w:r>
        <w:rPr>
          <w:rFonts w:ascii="Arial Narrow" w:hAnsi="Arial Narrow" w:cs="Tahoma"/>
          <w:color w:val="000000"/>
          <w:lang w:val="es-ES"/>
        </w:rPr>
        <w:t xml:space="preserve">ada </w:t>
      </w:r>
      <w:r w:rsidRPr="00A76825">
        <w:rPr>
          <w:rFonts w:ascii="Arial Narrow" w:hAnsi="Arial Narrow" w:cs="Tahoma"/>
          <w:color w:val="000000"/>
          <w:lang w:val="es-ES"/>
        </w:rPr>
        <w:t>la Resolución 1292 de 2021 por la cual se establecen reglas relativas al SARLAFT, para los Operadores del Servicio Postal de Pago</w:t>
      </w:r>
      <w:r>
        <w:rPr>
          <w:rFonts w:ascii="Arial Narrow" w:hAnsi="Arial Narrow" w:cs="Tahoma"/>
          <w:color w:val="000000"/>
          <w:lang w:val="es-ES"/>
        </w:rPr>
        <w:t xml:space="preserve"> y fue derogada la Resolución 2564 de 2016</w:t>
      </w:r>
      <w:r w:rsidRPr="00A76825">
        <w:rPr>
          <w:rFonts w:ascii="Arial Narrow" w:hAnsi="Arial Narrow" w:cs="Tahoma"/>
          <w:color w:val="000000"/>
          <w:lang w:val="es-ES"/>
        </w:rPr>
        <w:t xml:space="preserve">, </w:t>
      </w:r>
      <w:r>
        <w:rPr>
          <w:rFonts w:ascii="Arial Narrow" w:hAnsi="Arial Narrow" w:cs="Tahoma"/>
          <w:color w:val="000000"/>
          <w:lang w:val="es-ES"/>
        </w:rPr>
        <w:t xml:space="preserve">dando cumplimiento a </w:t>
      </w:r>
      <w:r w:rsidRPr="00A76825">
        <w:rPr>
          <w:rFonts w:ascii="Arial Narrow" w:hAnsi="Arial Narrow" w:cs="Tahoma"/>
          <w:color w:val="000000"/>
          <w:lang w:val="es-ES"/>
        </w:rPr>
        <w:t>las recomendaciones del Grupo de Acción Financiera Internacional -GAFI</w:t>
      </w:r>
      <w:r>
        <w:rPr>
          <w:rFonts w:ascii="Arial Narrow" w:hAnsi="Arial Narrow" w:cs="Tahoma"/>
          <w:color w:val="000000"/>
          <w:lang w:val="es-ES"/>
        </w:rPr>
        <w:t>; así mismo, fue otorgado un plazo de 7 meses para la implementación de los ajustes en los Sistemas de</w:t>
      </w:r>
      <w:r w:rsidRPr="00A76825">
        <w:t xml:space="preserve"> </w:t>
      </w:r>
      <w:r w:rsidRPr="00A76825">
        <w:rPr>
          <w:rFonts w:ascii="Arial Narrow" w:hAnsi="Arial Narrow" w:cs="Tahoma"/>
          <w:color w:val="000000"/>
          <w:lang w:val="es-ES"/>
        </w:rPr>
        <w:t xml:space="preserve">Administración del Riesgo de Lavado de Activos y Financiación del Terrorismo- SARLAFT </w:t>
      </w:r>
      <w:r>
        <w:rPr>
          <w:rFonts w:ascii="Arial Narrow" w:hAnsi="Arial Narrow" w:cs="Tahoma"/>
          <w:color w:val="000000"/>
          <w:lang w:val="es-ES"/>
        </w:rPr>
        <w:t xml:space="preserve">a </w:t>
      </w:r>
      <w:r w:rsidRPr="00A76825">
        <w:rPr>
          <w:rFonts w:ascii="Arial Narrow" w:hAnsi="Arial Narrow" w:cs="Tahoma"/>
          <w:color w:val="000000"/>
          <w:lang w:val="es-ES"/>
        </w:rPr>
        <w:t>los operadores postales de pago.  </w:t>
      </w:r>
    </w:p>
    <w:p w14:paraId="28BE8D5C" w14:textId="77777777" w:rsidR="006F28A1" w:rsidRPr="0073158E" w:rsidRDefault="006F28A1" w:rsidP="006F28A1">
      <w:pPr>
        <w:rPr>
          <w:rFonts w:ascii="Arial Narrow" w:hAnsi="Arial Narrow"/>
        </w:rPr>
      </w:pPr>
    </w:p>
    <w:p w14:paraId="3141B8AC" w14:textId="77777777" w:rsidR="006F28A1" w:rsidRDefault="006F28A1" w:rsidP="006F28A1">
      <w:pPr>
        <w:jc w:val="both"/>
        <w:rPr>
          <w:rFonts w:ascii="Arial Narrow" w:hAnsi="Arial Narrow"/>
        </w:rPr>
      </w:pPr>
      <w:r>
        <w:rPr>
          <w:rFonts w:ascii="Arial Narrow" w:hAnsi="Arial Narrow"/>
        </w:rPr>
        <w:t>Visto lo anterior</w:t>
      </w:r>
      <w:r w:rsidRPr="0073158E">
        <w:rPr>
          <w:rFonts w:ascii="Arial Narrow" w:hAnsi="Arial Narrow"/>
        </w:rPr>
        <w:t>, se plantea modificar los artículos 3 y 6 de la Resolución 1292 de 2021, así como el artículo 9 el cual establece</w:t>
      </w:r>
      <w:r>
        <w:rPr>
          <w:rFonts w:ascii="Arial Narrow" w:hAnsi="Arial Narrow"/>
        </w:rPr>
        <w:t xml:space="preserve"> parámetros asociados</w:t>
      </w:r>
      <w:r w:rsidRPr="0073158E">
        <w:rPr>
          <w:rFonts w:ascii="Arial Narrow" w:hAnsi="Arial Narrow"/>
        </w:rPr>
        <w:t xml:space="preserve"> </w:t>
      </w:r>
      <w:r>
        <w:rPr>
          <w:rFonts w:ascii="Arial Narrow" w:hAnsi="Arial Narrow"/>
        </w:rPr>
        <w:t>al</w:t>
      </w:r>
      <w:r w:rsidRPr="0073158E">
        <w:rPr>
          <w:rFonts w:ascii="Arial Narrow" w:hAnsi="Arial Narrow"/>
        </w:rPr>
        <w:t xml:space="preserve"> monto operaci</w:t>
      </w:r>
      <w:r>
        <w:rPr>
          <w:rFonts w:ascii="Arial Narrow" w:hAnsi="Arial Narrow"/>
        </w:rPr>
        <w:t>onal aplicable al</w:t>
      </w:r>
      <w:r w:rsidRPr="0073158E">
        <w:rPr>
          <w:rFonts w:ascii="Arial Narrow" w:hAnsi="Arial Narrow"/>
        </w:rPr>
        <w:t xml:space="preserve"> servicio postal de pago, igualmente se plantean </w:t>
      </w:r>
      <w:r>
        <w:rPr>
          <w:rFonts w:ascii="Arial Narrow" w:hAnsi="Arial Narrow"/>
        </w:rPr>
        <w:t xml:space="preserve">ajustar </w:t>
      </w:r>
      <w:r w:rsidRPr="0073158E">
        <w:rPr>
          <w:rFonts w:ascii="Arial Narrow" w:hAnsi="Arial Narrow"/>
        </w:rPr>
        <w:t xml:space="preserve">requisitos con la finalidad de que los operadores postales definan una política y procedimiento para el conocimiento de sus accionistas, </w:t>
      </w:r>
      <w:r w:rsidRPr="0073158E">
        <w:rPr>
          <w:rFonts w:ascii="Arial Narrow" w:hAnsi="Arial Narrow" w:cstheme="majorHAnsi"/>
        </w:rPr>
        <w:t xml:space="preserve">obteniendo una adecuada implementación y funcionamiento del SARLAFT, para lo cual se </w:t>
      </w:r>
      <w:r w:rsidRPr="0073158E">
        <w:rPr>
          <w:rFonts w:ascii="Arial Narrow" w:hAnsi="Arial Narrow"/>
        </w:rPr>
        <w:t xml:space="preserve">deben adoptar mecanismos efectivos, idóneos, confiables y eficaces de verificación, un debido reconocimiento de la identidad del tercero que realiza la operación al igual que la del tercero que la recepciona respecto de los mecanismos actuales y la inclusión de nuevas tecnologías, a pesar que los operadores cuentan con mecanismos biométricos de identificación actualmente, </w:t>
      </w:r>
      <w:r>
        <w:rPr>
          <w:rFonts w:ascii="Arial Narrow" w:hAnsi="Arial Narrow"/>
        </w:rPr>
        <w:lastRenderedPageBreak/>
        <w:t>se plantea la posibilidad de que sean</w:t>
      </w:r>
      <w:r w:rsidRPr="0073158E">
        <w:rPr>
          <w:rFonts w:ascii="Arial Narrow" w:hAnsi="Arial Narrow"/>
        </w:rPr>
        <w:t xml:space="preserve"> adoptados algunos adicionales</w:t>
      </w:r>
      <w:r>
        <w:rPr>
          <w:rFonts w:ascii="Arial Narrow" w:hAnsi="Arial Narrow"/>
        </w:rPr>
        <w:t>,</w:t>
      </w:r>
      <w:r w:rsidRPr="0073158E">
        <w:rPr>
          <w:rFonts w:ascii="Arial Narrow" w:hAnsi="Arial Narrow"/>
        </w:rPr>
        <w:t xml:space="preserve"> como el cruce de información de la cedula con la</w:t>
      </w:r>
      <w:r>
        <w:rPr>
          <w:rFonts w:ascii="Arial Narrow" w:hAnsi="Arial Narrow"/>
        </w:rPr>
        <w:t xml:space="preserve"> información de la</w:t>
      </w:r>
      <w:r w:rsidRPr="0073158E">
        <w:rPr>
          <w:rFonts w:ascii="Arial Narrow" w:hAnsi="Arial Narrow"/>
        </w:rPr>
        <w:t xml:space="preserve"> Registraduría Nacional del Estado Civil, tanto del usuario remitente como del destinatario</w:t>
      </w:r>
      <w:r>
        <w:rPr>
          <w:rFonts w:ascii="Arial Narrow" w:hAnsi="Arial Narrow"/>
        </w:rPr>
        <w:t xml:space="preserve">, esto último de acuerdo a la potestad que tienen los operadores de contratar el mencionado servicio. </w:t>
      </w:r>
    </w:p>
    <w:p w14:paraId="41566571" w14:textId="77777777" w:rsidR="006F28A1" w:rsidRPr="0073158E" w:rsidRDefault="006F28A1" w:rsidP="006F28A1">
      <w:pPr>
        <w:jc w:val="both"/>
        <w:rPr>
          <w:rFonts w:ascii="Arial Narrow" w:hAnsi="Arial Narrow" w:cstheme="majorHAnsi"/>
        </w:rPr>
      </w:pPr>
    </w:p>
    <w:p w14:paraId="2A7E7A6A" w14:textId="77777777" w:rsidR="006F28A1" w:rsidRPr="0073158E" w:rsidRDefault="006F28A1" w:rsidP="006F28A1">
      <w:pPr>
        <w:jc w:val="both"/>
        <w:rPr>
          <w:rFonts w:ascii="Arial Narrow" w:hAnsi="Arial Narrow"/>
        </w:rPr>
      </w:pPr>
      <w:r w:rsidRPr="0073158E">
        <w:rPr>
          <w:rFonts w:ascii="Arial Narrow" w:hAnsi="Arial Narrow" w:cstheme="majorHAnsi"/>
        </w:rPr>
        <w:t xml:space="preserve">Teniendo en cuenta lo anterior, la Subdirección de Asuntos Postales efectuó el presente análisis respecto de la inversión que </w:t>
      </w:r>
      <w:r>
        <w:rPr>
          <w:rFonts w:ascii="Arial Narrow" w:hAnsi="Arial Narrow" w:cstheme="majorHAnsi"/>
        </w:rPr>
        <w:t>podrían</w:t>
      </w:r>
      <w:r w:rsidRPr="0073158E">
        <w:rPr>
          <w:rFonts w:ascii="Arial Narrow" w:hAnsi="Arial Narrow" w:cstheme="majorHAnsi"/>
        </w:rPr>
        <w:t xml:space="preserve"> adelantar los Operadores </w:t>
      </w:r>
      <w:r w:rsidRPr="0073158E">
        <w:rPr>
          <w:rFonts w:ascii="Arial Narrow" w:hAnsi="Arial Narrow"/>
        </w:rPr>
        <w:t xml:space="preserve">Postales de Pago para adecuar sus sistemas de información, </w:t>
      </w:r>
      <w:r>
        <w:rPr>
          <w:rFonts w:ascii="Arial Narrow" w:hAnsi="Arial Narrow"/>
        </w:rPr>
        <w:t xml:space="preserve">con la finalidad de </w:t>
      </w:r>
      <w:r w:rsidRPr="0073158E">
        <w:rPr>
          <w:rFonts w:ascii="Arial Narrow" w:hAnsi="Arial Narrow"/>
        </w:rPr>
        <w:t>actualiza</w:t>
      </w:r>
      <w:r>
        <w:rPr>
          <w:rFonts w:ascii="Arial Narrow" w:hAnsi="Arial Narrow"/>
        </w:rPr>
        <w:t>r</w:t>
      </w:r>
      <w:r w:rsidRPr="0073158E">
        <w:rPr>
          <w:rFonts w:ascii="Arial Narrow" w:hAnsi="Arial Narrow"/>
        </w:rPr>
        <w:t xml:space="preserve"> el formato de conocimiento de la persona que envía y recepciona el giro postal, acorde con lo requerido en la reglamentación:</w:t>
      </w:r>
    </w:p>
    <w:p w14:paraId="512B1098" w14:textId="77777777" w:rsidR="006F28A1" w:rsidRPr="0073158E" w:rsidRDefault="006F28A1" w:rsidP="006F28A1">
      <w:pPr>
        <w:jc w:val="both"/>
        <w:rPr>
          <w:rFonts w:ascii="Arial Narrow" w:hAnsi="Arial Narrow"/>
        </w:rPr>
      </w:pPr>
    </w:p>
    <w:p w14:paraId="7C287A1F" w14:textId="77777777" w:rsidR="006F28A1" w:rsidRPr="0073158E" w:rsidRDefault="006F28A1" w:rsidP="006F28A1">
      <w:pPr>
        <w:jc w:val="both"/>
        <w:rPr>
          <w:rFonts w:ascii="Arial Narrow" w:hAnsi="Arial Narrow"/>
        </w:rPr>
      </w:pPr>
      <w:r w:rsidRPr="0073158E">
        <w:rPr>
          <w:rFonts w:ascii="Arial Narrow" w:hAnsi="Arial Narrow"/>
        </w:rPr>
        <w:t xml:space="preserve">En primer lugar, en lo referente a las horas de desarrollo para la generación de </w:t>
      </w:r>
      <w:r w:rsidRPr="0073158E">
        <w:rPr>
          <w:rFonts w:ascii="Arial Narrow" w:hAnsi="Arial Narrow"/>
          <w:i/>
          <w:iCs/>
        </w:rPr>
        <w:t>Software</w:t>
      </w:r>
      <w:r w:rsidRPr="0073158E">
        <w:rPr>
          <w:rFonts w:ascii="Arial Narrow" w:hAnsi="Arial Narrow"/>
        </w:rPr>
        <w:t>, se tomó como referencia el estudio previo para el desarrollo del sistema Auroportal del Ministerio, el cual incluye un total de 800 horas de desarrollo, con un valor total de $118.072.000, lo que indica que el valor unitario por hora de desarrollo tiene un costo</w:t>
      </w:r>
      <w:r>
        <w:rPr>
          <w:rFonts w:ascii="Arial Narrow" w:hAnsi="Arial Narrow"/>
        </w:rPr>
        <w:t xml:space="preserve"> estimado</w:t>
      </w:r>
      <w:r w:rsidRPr="0073158E">
        <w:rPr>
          <w:rFonts w:ascii="Arial Narrow" w:hAnsi="Arial Narrow"/>
        </w:rPr>
        <w:t xml:space="preserve"> de $147.590.</w:t>
      </w:r>
    </w:p>
    <w:p w14:paraId="37E1EE79" w14:textId="77777777" w:rsidR="006F28A1" w:rsidRPr="0073158E" w:rsidRDefault="006F28A1" w:rsidP="006F28A1">
      <w:pPr>
        <w:jc w:val="both"/>
        <w:rPr>
          <w:rFonts w:ascii="Arial Narrow" w:hAnsi="Arial Narrow"/>
        </w:rPr>
      </w:pPr>
    </w:p>
    <w:p w14:paraId="7186717E" w14:textId="77777777" w:rsidR="006F28A1" w:rsidRPr="0073158E" w:rsidRDefault="006F28A1" w:rsidP="006F28A1">
      <w:pPr>
        <w:jc w:val="both"/>
        <w:rPr>
          <w:rFonts w:ascii="Arial Narrow" w:hAnsi="Arial Narrow"/>
        </w:rPr>
      </w:pPr>
      <w:r w:rsidRPr="0073158E">
        <w:rPr>
          <w:rFonts w:ascii="Arial Narrow" w:hAnsi="Arial Narrow"/>
        </w:rPr>
        <w:t>De la misma manera, se encontró como referente una cotización de la Agencia Nacional Digital al Ministerio de Salud y Protección Social, para la implementación del sistema “CoronApp”, donde se incluye un total de 10.240 horas de ingeniería de capacidad por un costo de $972.800.000, es decir que el valor por hora de desarrollo equivale a $95.000.</w:t>
      </w:r>
    </w:p>
    <w:p w14:paraId="4DBCF14C" w14:textId="77777777" w:rsidR="006F28A1" w:rsidRPr="0073158E" w:rsidRDefault="006F28A1" w:rsidP="006F28A1">
      <w:pPr>
        <w:jc w:val="both"/>
        <w:rPr>
          <w:rFonts w:ascii="Arial Narrow" w:hAnsi="Arial Narrow"/>
        </w:rPr>
      </w:pPr>
    </w:p>
    <w:tbl>
      <w:tblPr>
        <w:tblW w:w="4444" w:type="dxa"/>
        <w:jc w:val="center"/>
        <w:tblCellMar>
          <w:left w:w="70" w:type="dxa"/>
          <w:right w:w="70" w:type="dxa"/>
        </w:tblCellMar>
        <w:tblLook w:val="04A0" w:firstRow="1" w:lastRow="0" w:firstColumn="1" w:lastColumn="0" w:noHBand="0" w:noVBand="1"/>
      </w:tblPr>
      <w:tblGrid>
        <w:gridCol w:w="2222"/>
        <w:gridCol w:w="2222"/>
      </w:tblGrid>
      <w:tr w:rsidR="006F28A1" w:rsidRPr="0073158E" w14:paraId="4E549349" w14:textId="77777777" w:rsidTr="00324FE4">
        <w:trPr>
          <w:trHeight w:val="376"/>
          <w:jc w:val="center"/>
        </w:trPr>
        <w:tc>
          <w:tcPr>
            <w:tcW w:w="2222" w:type="dxa"/>
            <w:tcBorders>
              <w:top w:val="single" w:sz="4" w:space="0" w:color="auto"/>
              <w:left w:val="single" w:sz="4" w:space="0" w:color="auto"/>
              <w:bottom w:val="single" w:sz="4" w:space="0" w:color="auto"/>
              <w:right w:val="single" w:sz="4" w:space="0" w:color="auto"/>
            </w:tcBorders>
            <w:shd w:val="clear" w:color="auto" w:fill="E7E6E6" w:themeFill="background2"/>
          </w:tcPr>
          <w:p w14:paraId="6481DAA2" w14:textId="77777777" w:rsidR="006F28A1" w:rsidRPr="0073158E" w:rsidRDefault="006F28A1" w:rsidP="00324FE4">
            <w:pPr>
              <w:jc w:val="center"/>
              <w:rPr>
                <w:rFonts w:ascii="Arial Narrow" w:hAnsi="Arial Narrow" w:cs="Calibri"/>
                <w:b/>
                <w:bCs/>
                <w:color w:val="000000"/>
              </w:rPr>
            </w:pPr>
          </w:p>
          <w:p w14:paraId="64AD5383" w14:textId="77777777" w:rsidR="006F28A1" w:rsidRPr="0073158E" w:rsidRDefault="006F28A1" w:rsidP="00324FE4">
            <w:pPr>
              <w:jc w:val="center"/>
              <w:rPr>
                <w:rFonts w:ascii="Arial Narrow" w:hAnsi="Arial Narrow" w:cs="Calibri"/>
                <w:b/>
                <w:bCs/>
                <w:color w:val="000000"/>
              </w:rPr>
            </w:pPr>
            <w:r w:rsidRPr="0073158E">
              <w:rPr>
                <w:rFonts w:ascii="Arial Narrow" w:hAnsi="Arial Narrow" w:cs="Calibri"/>
                <w:b/>
                <w:bCs/>
                <w:color w:val="000000"/>
              </w:rPr>
              <w:t xml:space="preserve">Proyecto </w:t>
            </w:r>
          </w:p>
          <w:p w14:paraId="6869C08C" w14:textId="77777777" w:rsidR="006F28A1" w:rsidRPr="0073158E" w:rsidRDefault="006F28A1" w:rsidP="00324FE4">
            <w:pPr>
              <w:jc w:val="center"/>
              <w:rPr>
                <w:rFonts w:ascii="Arial Narrow" w:hAnsi="Arial Narrow" w:cs="Calibri"/>
                <w:b/>
                <w:bCs/>
                <w:color w:val="000000"/>
              </w:rPr>
            </w:pPr>
          </w:p>
        </w:tc>
        <w:tc>
          <w:tcPr>
            <w:tcW w:w="22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0CB3A5" w14:textId="77777777" w:rsidR="006F28A1" w:rsidRPr="0073158E" w:rsidRDefault="006F28A1" w:rsidP="00324FE4">
            <w:pPr>
              <w:jc w:val="center"/>
              <w:rPr>
                <w:rFonts w:ascii="Arial Narrow" w:hAnsi="Arial Narrow" w:cs="Calibri"/>
                <w:b/>
                <w:bCs/>
                <w:color w:val="000000"/>
              </w:rPr>
            </w:pPr>
            <w:r w:rsidRPr="0073158E">
              <w:rPr>
                <w:rFonts w:ascii="Arial Narrow" w:hAnsi="Arial Narrow" w:cs="Calibri"/>
                <w:b/>
                <w:bCs/>
                <w:color w:val="000000"/>
              </w:rPr>
              <w:t>Valor Hora de Desarrollo</w:t>
            </w:r>
          </w:p>
        </w:tc>
      </w:tr>
      <w:tr w:rsidR="006F28A1" w:rsidRPr="0073158E" w14:paraId="1FC92D3B" w14:textId="77777777" w:rsidTr="00324FE4">
        <w:trPr>
          <w:trHeight w:val="287"/>
          <w:jc w:val="center"/>
        </w:trPr>
        <w:tc>
          <w:tcPr>
            <w:tcW w:w="2222" w:type="dxa"/>
            <w:tcBorders>
              <w:top w:val="single" w:sz="4" w:space="0" w:color="auto"/>
              <w:left w:val="single" w:sz="4" w:space="0" w:color="auto"/>
              <w:bottom w:val="single" w:sz="4" w:space="0" w:color="auto"/>
              <w:right w:val="single" w:sz="4" w:space="0" w:color="auto"/>
            </w:tcBorders>
          </w:tcPr>
          <w:p w14:paraId="1DA34943" w14:textId="77777777" w:rsidR="006F28A1" w:rsidRPr="0073158E" w:rsidRDefault="006F28A1" w:rsidP="00324FE4">
            <w:pPr>
              <w:jc w:val="center"/>
              <w:rPr>
                <w:rFonts w:ascii="Arial Narrow" w:hAnsi="Arial Narrow" w:cs="Calibri"/>
                <w:color w:val="000000"/>
              </w:rPr>
            </w:pPr>
            <w:r w:rsidRPr="0073158E">
              <w:rPr>
                <w:rFonts w:ascii="Arial Narrow" w:hAnsi="Arial Narrow" w:cs="Calibri"/>
                <w:color w:val="000000"/>
              </w:rPr>
              <w:t>Auraportal</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5ED7"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147.590 </w:t>
            </w:r>
          </w:p>
        </w:tc>
      </w:tr>
      <w:tr w:rsidR="006F28A1" w:rsidRPr="0073158E" w14:paraId="45A59655" w14:textId="77777777" w:rsidTr="00324FE4">
        <w:trPr>
          <w:trHeight w:val="287"/>
          <w:jc w:val="center"/>
        </w:trPr>
        <w:tc>
          <w:tcPr>
            <w:tcW w:w="2222" w:type="dxa"/>
            <w:tcBorders>
              <w:top w:val="single" w:sz="4" w:space="0" w:color="auto"/>
              <w:left w:val="single" w:sz="4" w:space="0" w:color="auto"/>
              <w:bottom w:val="single" w:sz="4" w:space="0" w:color="auto"/>
              <w:right w:val="single" w:sz="4" w:space="0" w:color="auto"/>
            </w:tcBorders>
          </w:tcPr>
          <w:p w14:paraId="03D90315" w14:textId="77777777" w:rsidR="006F28A1" w:rsidRPr="0073158E" w:rsidRDefault="006F28A1" w:rsidP="00324FE4">
            <w:pPr>
              <w:jc w:val="center"/>
              <w:rPr>
                <w:rFonts w:ascii="Arial Narrow" w:hAnsi="Arial Narrow" w:cs="Calibri"/>
                <w:color w:val="000000"/>
              </w:rPr>
            </w:pPr>
            <w:r w:rsidRPr="0073158E">
              <w:rPr>
                <w:rFonts w:ascii="Arial Narrow" w:hAnsi="Arial Narrow" w:cs="Calibri"/>
                <w:color w:val="000000"/>
              </w:rPr>
              <w:t>CoronApp</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FD85"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95.000</w:t>
            </w:r>
          </w:p>
        </w:tc>
      </w:tr>
    </w:tbl>
    <w:p w14:paraId="7C850B80" w14:textId="77777777" w:rsidR="006F28A1" w:rsidRPr="0073158E" w:rsidRDefault="006F28A1" w:rsidP="006F28A1">
      <w:pPr>
        <w:jc w:val="both"/>
        <w:rPr>
          <w:rFonts w:ascii="Arial Narrow" w:hAnsi="Arial Narrow"/>
        </w:rPr>
      </w:pPr>
    </w:p>
    <w:p w14:paraId="1717186D" w14:textId="77777777" w:rsidR="006F28A1" w:rsidRDefault="006F28A1" w:rsidP="006F28A1">
      <w:pPr>
        <w:jc w:val="both"/>
        <w:rPr>
          <w:rFonts w:ascii="Arial Narrow" w:hAnsi="Arial Narrow"/>
        </w:rPr>
      </w:pPr>
      <w:r>
        <w:rPr>
          <w:rFonts w:ascii="Arial Narrow" w:hAnsi="Arial Narrow"/>
        </w:rPr>
        <w:t>En este sentido</w:t>
      </w:r>
      <w:r w:rsidRPr="0073158E">
        <w:rPr>
          <w:rFonts w:ascii="Arial Narrow" w:hAnsi="Arial Narrow"/>
        </w:rPr>
        <w:t>, para obtener un valor promedio de la hora de desarrollo se procedió a sumar el valor de cada hora y se dividió en dos, obteniendo como resultado un valor promedio de hora de $121.295</w:t>
      </w:r>
      <w:r>
        <w:rPr>
          <w:rFonts w:ascii="Arial Narrow" w:hAnsi="Arial Narrow"/>
        </w:rPr>
        <w:t>.</w:t>
      </w:r>
    </w:p>
    <w:p w14:paraId="6C10C8DD" w14:textId="77777777" w:rsidR="006F28A1" w:rsidRDefault="006F28A1" w:rsidP="006F28A1">
      <w:pPr>
        <w:jc w:val="both"/>
        <w:rPr>
          <w:rFonts w:ascii="Arial Narrow" w:hAnsi="Arial Narrow"/>
        </w:rPr>
      </w:pPr>
    </w:p>
    <w:p w14:paraId="5AF6BA1F" w14:textId="339BF627" w:rsidR="006F28A1" w:rsidRDefault="006F28A1" w:rsidP="006F28A1">
      <w:pPr>
        <w:jc w:val="both"/>
        <w:rPr>
          <w:rFonts w:ascii="Arial Narrow" w:hAnsi="Arial Narrow"/>
        </w:rPr>
      </w:pPr>
      <w:r>
        <w:rPr>
          <w:rFonts w:ascii="Arial Narrow" w:hAnsi="Arial Narrow"/>
        </w:rPr>
        <w:t xml:space="preserve">Por otra parte y teniendo en cuenta que en la actualidad los operadores postales de pago cuentan con un sistema de información ya establecido para la caracterización y enrolamiento del usuario y dado que con esta acción se busca una modificación a los sistemas, acorde con </w:t>
      </w:r>
      <w:r>
        <w:rPr>
          <w:rFonts w:ascii="Arial Narrow" w:hAnsi="Arial Narrow" w:cs="Tahoma"/>
          <w:color w:val="000000"/>
          <w:lang w:val="es-ES"/>
        </w:rPr>
        <w:t>la implementación de los ajustes a los Sistemas de</w:t>
      </w:r>
      <w:r w:rsidRPr="00A76825">
        <w:t xml:space="preserve"> </w:t>
      </w:r>
      <w:r w:rsidRPr="00A76825">
        <w:rPr>
          <w:rFonts w:ascii="Arial Narrow" w:hAnsi="Arial Narrow" w:cs="Tahoma"/>
          <w:color w:val="000000"/>
          <w:lang w:val="es-ES"/>
        </w:rPr>
        <w:t>Administración del Riesgo de Lavado de Activos y Financiación del Terrorismo- SARLAFT</w:t>
      </w:r>
      <w:r>
        <w:rPr>
          <w:rFonts w:ascii="Arial Narrow" w:hAnsi="Arial Narrow"/>
        </w:rPr>
        <w:t>, la cual debe permitir una desagregación del usuario, se revisaron también proyectos similares de uso y manejo de bases de datos, estimando que el término aproximado de duración en horas de desarrollo, donde se involucra la optimización,  mejora o actualización de una herramienta, es parametrizable en una bolsa de 30 horas de desarrollo.</w:t>
      </w:r>
    </w:p>
    <w:p w14:paraId="013EF63C" w14:textId="77777777" w:rsidR="006F28A1" w:rsidRDefault="006F28A1" w:rsidP="006F28A1">
      <w:pPr>
        <w:jc w:val="both"/>
        <w:rPr>
          <w:rFonts w:ascii="Arial Narrow" w:hAnsi="Arial Narrow"/>
        </w:rPr>
      </w:pPr>
    </w:p>
    <w:p w14:paraId="67072DCC" w14:textId="682967F0" w:rsidR="006F28A1" w:rsidRDefault="006F28A1" w:rsidP="006F28A1">
      <w:pPr>
        <w:jc w:val="both"/>
        <w:rPr>
          <w:rFonts w:ascii="Arial Narrow" w:hAnsi="Arial Narrow"/>
        </w:rPr>
      </w:pPr>
      <w:r>
        <w:rPr>
          <w:rFonts w:ascii="Arial Narrow" w:hAnsi="Arial Narrow"/>
        </w:rPr>
        <w:t>No obstante, dicho término puede verse disminuido o ampliado de acuerdo con las necesidades internas y el tipo de sistema implementado por cada operador postal de pago.</w:t>
      </w:r>
    </w:p>
    <w:p w14:paraId="2C094E0F" w14:textId="77777777" w:rsidR="006F28A1" w:rsidRDefault="006F28A1" w:rsidP="006F28A1">
      <w:pPr>
        <w:jc w:val="both"/>
        <w:rPr>
          <w:rFonts w:ascii="Arial Narrow" w:hAnsi="Arial Narrow"/>
        </w:rPr>
      </w:pPr>
    </w:p>
    <w:p w14:paraId="1974E65E" w14:textId="77777777" w:rsidR="006F28A1" w:rsidRPr="0073158E" w:rsidRDefault="006F28A1" w:rsidP="006F28A1">
      <w:pPr>
        <w:jc w:val="both"/>
        <w:rPr>
          <w:rFonts w:ascii="Arial Narrow" w:hAnsi="Arial Narrow"/>
        </w:rPr>
      </w:pPr>
      <w:r>
        <w:rPr>
          <w:rFonts w:ascii="Arial Narrow" w:hAnsi="Arial Narrow"/>
        </w:rPr>
        <w:t>D</w:t>
      </w:r>
      <w:r w:rsidRPr="0073158E">
        <w:rPr>
          <w:rFonts w:ascii="Arial Narrow" w:hAnsi="Arial Narrow"/>
        </w:rPr>
        <w:t>e este modo</w:t>
      </w:r>
      <w:r>
        <w:rPr>
          <w:rFonts w:ascii="Arial Narrow" w:hAnsi="Arial Narrow"/>
        </w:rPr>
        <w:t>,</w:t>
      </w:r>
      <w:r w:rsidRPr="0073158E">
        <w:rPr>
          <w:rFonts w:ascii="Arial Narrow" w:hAnsi="Arial Narrow"/>
        </w:rPr>
        <w:t xml:space="preserve"> el costo aproximado para la implementación sería el siguiente:</w:t>
      </w:r>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9"/>
        <w:gridCol w:w="1534"/>
        <w:gridCol w:w="1841"/>
      </w:tblGrid>
      <w:tr w:rsidR="006F28A1" w:rsidRPr="0073158E" w14:paraId="616B4E3E" w14:textId="77777777" w:rsidTr="00324FE4">
        <w:trPr>
          <w:trHeight w:val="894"/>
          <w:jc w:val="center"/>
        </w:trPr>
        <w:tc>
          <w:tcPr>
            <w:tcW w:w="1989" w:type="dxa"/>
            <w:shd w:val="clear" w:color="auto" w:fill="auto"/>
            <w:vAlign w:val="center"/>
            <w:hideMark/>
          </w:tcPr>
          <w:p w14:paraId="56E411E7" w14:textId="77777777" w:rsidR="006F28A1" w:rsidRPr="0073158E" w:rsidRDefault="006F28A1" w:rsidP="00324FE4">
            <w:pPr>
              <w:jc w:val="center"/>
              <w:rPr>
                <w:rFonts w:ascii="Arial Narrow" w:hAnsi="Arial Narrow" w:cs="Calibri"/>
                <w:b/>
                <w:bCs/>
                <w:color w:val="000000"/>
              </w:rPr>
            </w:pPr>
            <w:r w:rsidRPr="0073158E">
              <w:rPr>
                <w:rFonts w:ascii="Arial Narrow" w:hAnsi="Arial Narrow" w:cs="Calibri"/>
                <w:b/>
                <w:bCs/>
                <w:color w:val="000000"/>
              </w:rPr>
              <w:lastRenderedPageBreak/>
              <w:t>Valor Hora de Desarrollo</w:t>
            </w:r>
          </w:p>
        </w:tc>
        <w:tc>
          <w:tcPr>
            <w:tcW w:w="1534" w:type="dxa"/>
            <w:shd w:val="clear" w:color="auto" w:fill="auto"/>
            <w:vAlign w:val="center"/>
            <w:hideMark/>
          </w:tcPr>
          <w:p w14:paraId="068FA6C9" w14:textId="77777777" w:rsidR="006F28A1" w:rsidRPr="000330A4" w:rsidRDefault="006F28A1" w:rsidP="00324FE4">
            <w:pPr>
              <w:jc w:val="center"/>
              <w:rPr>
                <w:rFonts w:ascii="Arial Narrow" w:hAnsi="Arial Narrow" w:cs="Calibri"/>
                <w:b/>
                <w:bCs/>
                <w:color w:val="000000"/>
              </w:rPr>
            </w:pPr>
            <w:r w:rsidRPr="000330A4">
              <w:rPr>
                <w:rFonts w:ascii="Arial Narrow" w:hAnsi="Arial Narrow" w:cs="Calibri"/>
                <w:b/>
                <w:bCs/>
                <w:color w:val="000000"/>
              </w:rPr>
              <w:t xml:space="preserve">Cantidad de Horas </w:t>
            </w:r>
          </w:p>
        </w:tc>
        <w:tc>
          <w:tcPr>
            <w:tcW w:w="1841" w:type="dxa"/>
            <w:shd w:val="clear" w:color="auto" w:fill="auto"/>
            <w:vAlign w:val="center"/>
            <w:hideMark/>
          </w:tcPr>
          <w:p w14:paraId="4FFE14A8" w14:textId="77777777" w:rsidR="006F28A1" w:rsidRPr="0073158E" w:rsidRDefault="006F28A1" w:rsidP="00324FE4">
            <w:pPr>
              <w:jc w:val="center"/>
              <w:rPr>
                <w:rFonts w:ascii="Arial Narrow" w:hAnsi="Arial Narrow" w:cs="Calibri"/>
                <w:b/>
                <w:bCs/>
                <w:color w:val="000000"/>
              </w:rPr>
            </w:pPr>
            <w:r w:rsidRPr="0073158E">
              <w:rPr>
                <w:rFonts w:ascii="Arial Narrow" w:hAnsi="Arial Narrow" w:cs="Calibri"/>
                <w:b/>
                <w:bCs/>
                <w:color w:val="000000"/>
              </w:rPr>
              <w:t>Costo Aproximado Desarrollo</w:t>
            </w:r>
          </w:p>
        </w:tc>
      </w:tr>
      <w:tr w:rsidR="006F28A1" w:rsidRPr="0073158E" w14:paraId="31B7C31B" w14:textId="77777777" w:rsidTr="00324FE4">
        <w:trPr>
          <w:trHeight w:val="330"/>
          <w:jc w:val="center"/>
        </w:trPr>
        <w:tc>
          <w:tcPr>
            <w:tcW w:w="1989" w:type="dxa"/>
            <w:shd w:val="clear" w:color="auto" w:fill="auto"/>
            <w:noWrap/>
            <w:vAlign w:val="bottom"/>
            <w:hideMark/>
          </w:tcPr>
          <w:p w14:paraId="6CA578DD"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121.295</w:t>
            </w:r>
          </w:p>
        </w:tc>
        <w:tc>
          <w:tcPr>
            <w:tcW w:w="1534" w:type="dxa"/>
            <w:shd w:val="clear" w:color="auto" w:fill="auto"/>
            <w:noWrap/>
            <w:vAlign w:val="bottom"/>
            <w:hideMark/>
          </w:tcPr>
          <w:p w14:paraId="231A960C" w14:textId="77777777" w:rsidR="006F28A1" w:rsidRPr="000330A4" w:rsidRDefault="006F28A1" w:rsidP="00324FE4">
            <w:pPr>
              <w:jc w:val="center"/>
              <w:rPr>
                <w:rFonts w:ascii="Arial Narrow" w:hAnsi="Arial Narrow" w:cs="Calibri"/>
                <w:color w:val="000000"/>
              </w:rPr>
            </w:pPr>
            <w:r w:rsidRPr="000330A4">
              <w:rPr>
                <w:rFonts w:ascii="Arial Narrow" w:hAnsi="Arial Narrow" w:cs="Calibri"/>
                <w:color w:val="000000"/>
              </w:rPr>
              <w:t>30</w:t>
            </w:r>
          </w:p>
        </w:tc>
        <w:tc>
          <w:tcPr>
            <w:tcW w:w="1841" w:type="dxa"/>
            <w:shd w:val="clear" w:color="auto" w:fill="auto"/>
            <w:noWrap/>
            <w:vAlign w:val="bottom"/>
            <w:hideMark/>
          </w:tcPr>
          <w:p w14:paraId="4DFB033B"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3.638.850 </w:t>
            </w:r>
          </w:p>
        </w:tc>
      </w:tr>
    </w:tbl>
    <w:p w14:paraId="71C4A006" w14:textId="77777777" w:rsidR="006F28A1" w:rsidRPr="0073158E" w:rsidRDefault="006F28A1" w:rsidP="006F28A1">
      <w:pPr>
        <w:jc w:val="both"/>
        <w:rPr>
          <w:rFonts w:ascii="Arial Narrow" w:hAnsi="Arial Narrow"/>
        </w:rPr>
      </w:pPr>
    </w:p>
    <w:p w14:paraId="1F3BEF62" w14:textId="77777777" w:rsidR="006F28A1" w:rsidRDefault="006F28A1" w:rsidP="006F28A1">
      <w:pPr>
        <w:jc w:val="both"/>
        <w:rPr>
          <w:rFonts w:ascii="Arial Narrow" w:hAnsi="Arial Narrow"/>
        </w:rPr>
      </w:pPr>
      <w:r>
        <w:rPr>
          <w:rFonts w:ascii="Arial Narrow" w:hAnsi="Arial Narrow"/>
        </w:rPr>
        <w:t>De otro lado</w:t>
      </w:r>
      <w:r w:rsidRPr="0073158E">
        <w:rPr>
          <w:rFonts w:ascii="Arial Narrow" w:hAnsi="Arial Narrow"/>
        </w:rPr>
        <w:t>, es pertinente mencionar que acorde con las disposiciones contenidas en la Ley 1753 de 2015</w:t>
      </w:r>
      <w:r w:rsidRPr="0073158E">
        <w:rPr>
          <w:rStyle w:val="Refdenotaalpie"/>
          <w:rFonts w:ascii="Arial Narrow" w:hAnsi="Arial Narrow"/>
        </w:rPr>
        <w:footnoteReference w:id="6"/>
      </w:r>
      <w:r w:rsidRPr="0073158E">
        <w:rPr>
          <w:rFonts w:ascii="Arial Narrow" w:hAnsi="Arial Narrow"/>
        </w:rPr>
        <w:t xml:space="preserve"> que modificó el artículo 227 de la Ley 1450 de 2011, la Registraduría Nacional del Estado Civil permitirá el acceso a la información biométrica, teniendo el derecho a cobrar por los costos asociados con la reproducción de la misma, a Administradoras de Sistema de Seguridad social integral en pensiones, salud y riesgos laborales, así como a aquellos que desarrollan las actividades consagra</w:t>
      </w:r>
      <w:r>
        <w:rPr>
          <w:rFonts w:ascii="Arial Narrow" w:hAnsi="Arial Narrow"/>
        </w:rPr>
        <w:t>das en</w:t>
      </w:r>
      <w:r w:rsidRPr="0073158E">
        <w:rPr>
          <w:rFonts w:ascii="Arial Narrow" w:hAnsi="Arial Narrow"/>
        </w:rPr>
        <w:t xml:space="preserve"> el artículo 335 de la Constitución Política “actividades financiera, bursátil, aseguradora y cualquiera otra relacionada con el manejo, aprovechamiento e inversión de los recursos captados del público” y finalmente los demás particulares que autorice la ley.</w:t>
      </w:r>
    </w:p>
    <w:p w14:paraId="595B36FA" w14:textId="77777777" w:rsidR="006F28A1" w:rsidRPr="0073158E" w:rsidRDefault="006F28A1" w:rsidP="006F28A1">
      <w:pPr>
        <w:jc w:val="both"/>
        <w:rPr>
          <w:rFonts w:ascii="Arial Narrow" w:hAnsi="Arial Narrow"/>
        </w:rPr>
      </w:pPr>
    </w:p>
    <w:p w14:paraId="1B58ED63" w14:textId="77777777" w:rsidR="006F28A1" w:rsidRPr="0073158E" w:rsidRDefault="006F28A1" w:rsidP="006F28A1">
      <w:pPr>
        <w:jc w:val="both"/>
        <w:rPr>
          <w:rFonts w:ascii="Arial Narrow" w:hAnsi="Arial Narrow"/>
        </w:rPr>
      </w:pPr>
      <w:r w:rsidRPr="0073158E">
        <w:rPr>
          <w:rFonts w:ascii="Arial Narrow" w:hAnsi="Arial Narrow"/>
        </w:rPr>
        <w:t>En consecuencia la Resolución No. 5633 de 2016</w:t>
      </w:r>
      <w:r w:rsidRPr="0073158E">
        <w:rPr>
          <w:rStyle w:val="Refdenotaalpie"/>
          <w:rFonts w:ascii="Arial Narrow" w:hAnsi="Arial Narrow"/>
        </w:rPr>
        <w:footnoteReference w:id="7"/>
      </w:r>
      <w:r w:rsidRPr="0073158E">
        <w:rPr>
          <w:rFonts w:ascii="Arial Narrow" w:hAnsi="Arial Narrow"/>
        </w:rPr>
        <w:t>, estableció que las entidades públicas y particulares que cumplen funciones públicas pueden realizar consultas y validaciones de la información contenida en la base de datos del Archivo Nacional de Identificación (ANI) que no esté sujeta a reserva legal, mediante la suscripción de un convenio o contrato con dicha entidad, así mismo, la citada resolución permite el acceso a las bases de datos administradas por la Registraduría Nacional del Estado Civil, con el objetivo que las entidades de carácter privado realicen la consulta y validación de información biográfica.</w:t>
      </w:r>
    </w:p>
    <w:p w14:paraId="3D97BD44" w14:textId="77777777" w:rsidR="006F28A1" w:rsidRPr="0073158E" w:rsidRDefault="006F28A1" w:rsidP="006F28A1">
      <w:pPr>
        <w:jc w:val="both"/>
        <w:rPr>
          <w:rFonts w:ascii="Arial Narrow" w:hAnsi="Arial Narrow"/>
        </w:rPr>
      </w:pPr>
    </w:p>
    <w:p w14:paraId="0144AC6E" w14:textId="77777777" w:rsidR="006F28A1" w:rsidRPr="0073158E" w:rsidRDefault="006F28A1" w:rsidP="006F28A1">
      <w:pPr>
        <w:jc w:val="both"/>
        <w:rPr>
          <w:rFonts w:ascii="Arial Narrow" w:hAnsi="Arial Narrow"/>
        </w:rPr>
      </w:pPr>
      <w:r w:rsidRPr="0073158E">
        <w:rPr>
          <w:rFonts w:ascii="Arial Narrow" w:hAnsi="Arial Narrow"/>
        </w:rPr>
        <w:t>En ese orden de ideas, los costos se encuentran fijados en la Resolución 1056 de 2021</w:t>
      </w:r>
      <w:r w:rsidRPr="0073158E">
        <w:rPr>
          <w:rStyle w:val="Refdenotaalpie"/>
          <w:rFonts w:ascii="Arial Narrow" w:hAnsi="Arial Narrow"/>
        </w:rPr>
        <w:footnoteReference w:id="8"/>
      </w:r>
      <w:r w:rsidRPr="0073158E">
        <w:rPr>
          <w:rFonts w:ascii="Arial Narrow" w:hAnsi="Arial Narrow"/>
        </w:rPr>
        <w:t xml:space="preserve"> la cual estableció las tarifas para los diferentes servicios prestados por la Registraduría Nacional del Estado Civil; así pues, el artículo 14 hace referencia a la tarifa asociada con la consulta de información en bases de datos para la autenticación biométrica, según los rangos de consulta dispuestos por dicha entidad. </w:t>
      </w:r>
    </w:p>
    <w:p w14:paraId="42979974" w14:textId="77777777" w:rsidR="006F28A1" w:rsidRPr="0073158E" w:rsidRDefault="006F28A1" w:rsidP="006F28A1">
      <w:pPr>
        <w:jc w:val="both"/>
        <w:rPr>
          <w:rFonts w:ascii="Arial Narrow" w:hAnsi="Arial Narrow"/>
        </w:rPr>
      </w:pPr>
    </w:p>
    <w:p w14:paraId="4CE6D866" w14:textId="7C046159" w:rsidR="006F28A1" w:rsidRDefault="006F28A1" w:rsidP="006F28A1">
      <w:pPr>
        <w:jc w:val="both"/>
        <w:rPr>
          <w:rFonts w:ascii="Arial Narrow" w:hAnsi="Arial Narrow"/>
        </w:rPr>
      </w:pPr>
      <w:r w:rsidRPr="0073158E">
        <w:rPr>
          <w:rFonts w:ascii="Arial Narrow" w:hAnsi="Arial Narrow"/>
        </w:rPr>
        <w:t>En tal sentido, y consultadas las tarifas estipuladas en el mencionado artículo, se tomó como referencia el primer rango de consulta de 1 - 100.000 que corresponde a la suma de $16.545.109,02, para la conexión con el Archivo Nacional de Identificación -ANI. En consecuencia, se relaciona a continuación, el costo total aproximado de implementación a cargo de los operadores postales de pago:</w:t>
      </w:r>
    </w:p>
    <w:p w14:paraId="4F17939C" w14:textId="77777777" w:rsidR="006F28A1" w:rsidRPr="0073158E" w:rsidRDefault="006F28A1" w:rsidP="006F28A1">
      <w:pPr>
        <w:jc w:val="both"/>
        <w:rPr>
          <w:rFonts w:ascii="Arial Narrow" w:hAnsi="Arial Narrow"/>
        </w:rPr>
      </w:pPr>
    </w:p>
    <w:tbl>
      <w:tblPr>
        <w:tblW w:w="4588" w:type="dxa"/>
        <w:jc w:val="center"/>
        <w:tblCellMar>
          <w:left w:w="70" w:type="dxa"/>
          <w:right w:w="70" w:type="dxa"/>
        </w:tblCellMar>
        <w:tblLook w:val="04A0" w:firstRow="1" w:lastRow="0" w:firstColumn="1" w:lastColumn="0" w:noHBand="0" w:noVBand="1"/>
      </w:tblPr>
      <w:tblGrid>
        <w:gridCol w:w="2744"/>
        <w:gridCol w:w="1844"/>
      </w:tblGrid>
      <w:tr w:rsidR="006F28A1" w:rsidRPr="0073158E" w14:paraId="5B6CB5D9" w14:textId="77777777" w:rsidTr="00324FE4">
        <w:trPr>
          <w:trHeight w:val="383"/>
          <w:jc w:val="center"/>
        </w:trPr>
        <w:tc>
          <w:tcPr>
            <w:tcW w:w="2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9D84"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Total, horas de desarrollo</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188FB057"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3.638.850,00</w:t>
            </w:r>
          </w:p>
        </w:tc>
      </w:tr>
      <w:tr w:rsidR="006F28A1" w:rsidRPr="0073158E" w14:paraId="2CB4ACE3" w14:textId="77777777" w:rsidTr="00324FE4">
        <w:trPr>
          <w:trHeight w:val="383"/>
          <w:jc w:val="center"/>
        </w:trPr>
        <w:tc>
          <w:tcPr>
            <w:tcW w:w="2744" w:type="dxa"/>
            <w:tcBorders>
              <w:top w:val="nil"/>
              <w:left w:val="single" w:sz="4" w:space="0" w:color="auto"/>
              <w:bottom w:val="single" w:sz="4" w:space="0" w:color="auto"/>
              <w:right w:val="single" w:sz="4" w:space="0" w:color="auto"/>
            </w:tcBorders>
            <w:shd w:val="clear" w:color="auto" w:fill="auto"/>
            <w:noWrap/>
            <w:vAlign w:val="bottom"/>
            <w:hideMark/>
          </w:tcPr>
          <w:p w14:paraId="7489212B"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Web Services ANI</w:t>
            </w:r>
          </w:p>
        </w:tc>
        <w:tc>
          <w:tcPr>
            <w:tcW w:w="1844" w:type="dxa"/>
            <w:tcBorders>
              <w:top w:val="nil"/>
              <w:left w:val="nil"/>
              <w:bottom w:val="single" w:sz="4" w:space="0" w:color="auto"/>
              <w:right w:val="single" w:sz="4" w:space="0" w:color="auto"/>
            </w:tcBorders>
            <w:shd w:val="clear" w:color="auto" w:fill="auto"/>
            <w:noWrap/>
            <w:vAlign w:val="bottom"/>
            <w:hideMark/>
          </w:tcPr>
          <w:p w14:paraId="4BCA5892" w14:textId="77777777" w:rsidR="006F28A1" w:rsidRPr="0073158E" w:rsidRDefault="006F28A1" w:rsidP="00324FE4">
            <w:pPr>
              <w:rPr>
                <w:rFonts w:ascii="Arial Narrow" w:hAnsi="Arial Narrow" w:cs="Calibri"/>
                <w:color w:val="000000"/>
              </w:rPr>
            </w:pPr>
            <w:r w:rsidRPr="0073158E">
              <w:rPr>
                <w:rFonts w:ascii="Arial Narrow" w:hAnsi="Arial Narrow" w:cs="Calibri"/>
                <w:color w:val="000000"/>
              </w:rPr>
              <w:t xml:space="preserve"> $   16.545.109,02</w:t>
            </w:r>
          </w:p>
        </w:tc>
      </w:tr>
      <w:tr w:rsidR="006F28A1" w:rsidRPr="0073158E" w14:paraId="550E71C6" w14:textId="77777777" w:rsidTr="00324FE4">
        <w:trPr>
          <w:trHeight w:val="383"/>
          <w:jc w:val="center"/>
        </w:trPr>
        <w:tc>
          <w:tcPr>
            <w:tcW w:w="2744" w:type="dxa"/>
            <w:tcBorders>
              <w:top w:val="nil"/>
              <w:left w:val="single" w:sz="4" w:space="0" w:color="auto"/>
              <w:bottom w:val="single" w:sz="4" w:space="0" w:color="auto"/>
              <w:right w:val="single" w:sz="4" w:space="0" w:color="auto"/>
            </w:tcBorders>
            <w:shd w:val="clear" w:color="000000" w:fill="E7E6E6"/>
            <w:noWrap/>
            <w:vAlign w:val="bottom"/>
            <w:hideMark/>
          </w:tcPr>
          <w:p w14:paraId="2A593DC2" w14:textId="77777777" w:rsidR="006F28A1" w:rsidRPr="0073158E" w:rsidRDefault="006F28A1" w:rsidP="00324FE4">
            <w:pPr>
              <w:rPr>
                <w:rFonts w:ascii="Arial Narrow" w:hAnsi="Arial Narrow" w:cs="Calibri"/>
                <w:b/>
                <w:bCs/>
                <w:color w:val="000000"/>
              </w:rPr>
            </w:pPr>
            <w:r w:rsidRPr="0073158E">
              <w:rPr>
                <w:rFonts w:ascii="Arial Narrow" w:hAnsi="Arial Narrow" w:cs="Calibri"/>
                <w:b/>
                <w:bCs/>
                <w:color w:val="000000"/>
              </w:rPr>
              <w:t>Total implementación</w:t>
            </w:r>
          </w:p>
        </w:tc>
        <w:tc>
          <w:tcPr>
            <w:tcW w:w="1844" w:type="dxa"/>
            <w:tcBorders>
              <w:top w:val="nil"/>
              <w:left w:val="nil"/>
              <w:bottom w:val="single" w:sz="4" w:space="0" w:color="auto"/>
              <w:right w:val="single" w:sz="4" w:space="0" w:color="auto"/>
            </w:tcBorders>
            <w:shd w:val="clear" w:color="000000" w:fill="E7E6E6"/>
            <w:noWrap/>
            <w:vAlign w:val="bottom"/>
            <w:hideMark/>
          </w:tcPr>
          <w:p w14:paraId="3CA30548" w14:textId="77777777" w:rsidR="006F28A1" w:rsidRPr="0073158E" w:rsidRDefault="006F28A1" w:rsidP="00324FE4">
            <w:pPr>
              <w:rPr>
                <w:rFonts w:ascii="Arial Narrow" w:hAnsi="Arial Narrow" w:cs="Calibri"/>
                <w:b/>
                <w:bCs/>
                <w:color w:val="000000"/>
              </w:rPr>
            </w:pPr>
            <w:r w:rsidRPr="0073158E">
              <w:rPr>
                <w:rFonts w:ascii="Arial Narrow" w:hAnsi="Arial Narrow" w:cs="Calibri"/>
                <w:b/>
                <w:bCs/>
                <w:color w:val="000000"/>
              </w:rPr>
              <w:t xml:space="preserve"> $   20.183.959,02 </w:t>
            </w:r>
          </w:p>
        </w:tc>
      </w:tr>
    </w:tbl>
    <w:p w14:paraId="262F91DF" w14:textId="77777777" w:rsidR="006F28A1" w:rsidRPr="0073158E" w:rsidRDefault="006F28A1" w:rsidP="006F28A1">
      <w:pPr>
        <w:jc w:val="both"/>
        <w:rPr>
          <w:rFonts w:ascii="Arial Narrow" w:hAnsi="Arial Narrow"/>
        </w:rPr>
      </w:pPr>
    </w:p>
    <w:p w14:paraId="09FBE2CB" w14:textId="77777777" w:rsidR="006F28A1" w:rsidRDefault="006F28A1" w:rsidP="006F28A1">
      <w:pPr>
        <w:ind w:right="49"/>
        <w:jc w:val="both"/>
        <w:rPr>
          <w:rFonts w:ascii="Arial Narrow" w:hAnsi="Arial Narrow" w:cs="Arial"/>
          <w:color w:val="000000"/>
        </w:rPr>
      </w:pPr>
      <w:r>
        <w:rPr>
          <w:rFonts w:ascii="Arial Narrow" w:hAnsi="Arial Narrow"/>
        </w:rPr>
        <w:lastRenderedPageBreak/>
        <w:t>En síntesis</w:t>
      </w:r>
      <w:r w:rsidRPr="0073158E">
        <w:rPr>
          <w:rFonts w:ascii="Arial Narrow" w:hAnsi="Arial Narrow"/>
        </w:rPr>
        <w:t xml:space="preserve">, el costo total aproximado que deberían asumir los operadores postales de pago, para la debida implementación en sus sistemas de información y la adecuada mitigación de </w:t>
      </w:r>
      <w:r w:rsidRPr="0073158E">
        <w:rPr>
          <w:rFonts w:ascii="Arial Narrow" w:hAnsi="Arial Narrow" w:cs="Arial"/>
          <w:color w:val="000000"/>
        </w:rPr>
        <w:t xml:space="preserve">riesgos asociados al LA/FT y la Proliferación De Armas De Destrucción Masiva en el servicio postal de pago, corresponde a la suma de $20.183.959,02.  </w:t>
      </w:r>
    </w:p>
    <w:p w14:paraId="1F3843DD" w14:textId="77777777" w:rsidR="006F28A1" w:rsidRDefault="006F28A1" w:rsidP="006F28A1">
      <w:pPr>
        <w:ind w:right="49"/>
        <w:jc w:val="both"/>
        <w:rPr>
          <w:rFonts w:ascii="Arial Narrow" w:hAnsi="Arial Narrow" w:cs="Arial"/>
          <w:color w:val="000000"/>
        </w:rPr>
      </w:pPr>
    </w:p>
    <w:p w14:paraId="4C903F04" w14:textId="789BDD0F" w:rsidR="006F28A1" w:rsidRDefault="006F28A1" w:rsidP="006F28A1">
      <w:pPr>
        <w:ind w:right="49"/>
        <w:jc w:val="both"/>
        <w:rPr>
          <w:rFonts w:ascii="Arial Narrow" w:hAnsi="Arial Narrow" w:cs="Arial"/>
          <w:color w:val="000000"/>
        </w:rPr>
      </w:pPr>
      <w:r>
        <w:rPr>
          <w:rFonts w:ascii="Arial Narrow" w:hAnsi="Arial Narrow" w:cs="Arial"/>
          <w:color w:val="000000"/>
        </w:rPr>
        <w:t>Por último, se destaca</w:t>
      </w:r>
      <w:r w:rsidRPr="0073158E">
        <w:rPr>
          <w:rFonts w:ascii="Arial Narrow" w:hAnsi="Arial Narrow" w:cs="Arial"/>
          <w:color w:val="000000"/>
        </w:rPr>
        <w:t xml:space="preserve"> que los valores anteriormente indicados son una referencia y que el valor total de implementación podrá variar respecto de cada operador, según sus necesidades, la cantidad de horas de desarrollo que sean contratadas y el valor de estas, así como el resultado del acuerdo y las tarifas que</w:t>
      </w:r>
      <w:r>
        <w:rPr>
          <w:rFonts w:ascii="Arial Narrow" w:hAnsi="Arial Narrow" w:cs="Arial"/>
          <w:color w:val="000000"/>
        </w:rPr>
        <w:t xml:space="preserve"> puedan ser</w:t>
      </w:r>
      <w:r w:rsidRPr="0073158E">
        <w:rPr>
          <w:rFonts w:ascii="Arial Narrow" w:hAnsi="Arial Narrow" w:cs="Arial"/>
          <w:color w:val="000000"/>
        </w:rPr>
        <w:t xml:space="preserve"> establecidas por cada operador con la Registraduría Nacional del Estado Civil para la consulta de información en base de datos para la autenticación biométrica. </w:t>
      </w:r>
    </w:p>
    <w:p w14:paraId="0E7C90BF" w14:textId="1B734676" w:rsidR="000E4D37" w:rsidRDefault="000E4D37" w:rsidP="006F28A1">
      <w:pPr>
        <w:ind w:right="49"/>
        <w:jc w:val="both"/>
        <w:rPr>
          <w:rFonts w:ascii="Arial Narrow" w:hAnsi="Arial Narrow" w:cs="Arial"/>
          <w:color w:val="000000"/>
        </w:rPr>
      </w:pPr>
    </w:p>
    <w:p w14:paraId="3062E148" w14:textId="77777777" w:rsidR="000E4D37" w:rsidRDefault="000E4D37" w:rsidP="006F28A1">
      <w:pPr>
        <w:ind w:right="49"/>
        <w:jc w:val="both"/>
        <w:rPr>
          <w:rFonts w:ascii="Arial Narrow" w:hAnsi="Arial Narrow" w:cs="Arial"/>
          <w:color w:val="000000"/>
        </w:rPr>
      </w:pPr>
    </w:p>
    <w:p w14:paraId="63CFAF0E" w14:textId="317B9EA7" w:rsidR="000E4D37" w:rsidRDefault="000E4D37" w:rsidP="006F28A1">
      <w:pPr>
        <w:ind w:right="49"/>
        <w:jc w:val="both"/>
        <w:rPr>
          <w:rFonts w:ascii="Arial Narrow" w:hAnsi="Arial Narrow" w:cs="Arial"/>
          <w:color w:val="000000"/>
        </w:rPr>
      </w:pPr>
    </w:p>
    <w:p w14:paraId="15482CE1" w14:textId="77777777" w:rsidR="000E4D37" w:rsidRPr="00831F0A" w:rsidRDefault="000E4D37" w:rsidP="000E4D37">
      <w:pPr>
        <w:jc w:val="center"/>
        <w:rPr>
          <w:rFonts w:ascii="Arial Narrow" w:hAnsi="Arial Narrow"/>
          <w:bCs/>
          <w:color w:val="000000"/>
          <w:sz w:val="22"/>
          <w:szCs w:val="22"/>
        </w:rPr>
      </w:pPr>
      <w:r w:rsidRPr="00831F0A">
        <w:rPr>
          <w:rFonts w:ascii="Arial Narrow" w:hAnsi="Arial Narrow"/>
          <w:bCs/>
          <w:color w:val="000000"/>
          <w:sz w:val="22"/>
          <w:szCs w:val="22"/>
        </w:rPr>
        <w:t>(FIRMADO DIGITALMENTE)</w:t>
      </w:r>
    </w:p>
    <w:p w14:paraId="0CEE6438" w14:textId="77777777" w:rsidR="000E4D37" w:rsidRPr="00831F0A" w:rsidRDefault="000E4D37" w:rsidP="000E4D37">
      <w:pPr>
        <w:jc w:val="center"/>
        <w:rPr>
          <w:rFonts w:ascii="Arial Narrow" w:eastAsia="Arial Unicode MS" w:hAnsi="Arial Narrow" w:cs="Arial"/>
          <w:b/>
          <w:color w:val="000000"/>
          <w:sz w:val="22"/>
          <w:szCs w:val="22"/>
        </w:rPr>
      </w:pPr>
      <w:r w:rsidRPr="00831F0A">
        <w:rPr>
          <w:rFonts w:ascii="Arial Narrow" w:hAnsi="Arial Narrow"/>
          <w:b/>
          <w:color w:val="000000"/>
          <w:sz w:val="22"/>
          <w:szCs w:val="22"/>
        </w:rPr>
        <w:t>JAIRO LUIS MARULANDA LAZCARRO</w:t>
      </w:r>
    </w:p>
    <w:p w14:paraId="30877FD4" w14:textId="77777777" w:rsidR="000E4D37" w:rsidRDefault="000E4D37" w:rsidP="000E4D37">
      <w:pPr>
        <w:jc w:val="center"/>
        <w:rPr>
          <w:rFonts w:ascii="Arial Narrow" w:eastAsia="Arial Unicode MS" w:hAnsi="Arial Narrow" w:cs="Arial"/>
          <w:sz w:val="14"/>
          <w:szCs w:val="14"/>
        </w:rPr>
      </w:pPr>
      <w:r w:rsidRPr="00831F0A">
        <w:rPr>
          <w:rFonts w:ascii="Arial Narrow" w:eastAsia="Arial Unicode MS" w:hAnsi="Arial Narrow" w:cs="Arial"/>
          <w:color w:val="000000"/>
          <w:sz w:val="22"/>
          <w:szCs w:val="22"/>
        </w:rPr>
        <w:t>Subdirector de Asuntos Postales</w:t>
      </w:r>
    </w:p>
    <w:p w14:paraId="094A5E83" w14:textId="77777777" w:rsidR="006F28A1" w:rsidRDefault="006F28A1" w:rsidP="006F28A1"/>
    <w:p w14:paraId="05186BA2" w14:textId="77777777" w:rsidR="006F28A1" w:rsidRDefault="006F28A1" w:rsidP="006F28A1"/>
    <w:p w14:paraId="14E5E77E" w14:textId="77777777" w:rsidR="006F28A1" w:rsidRDefault="006F28A1" w:rsidP="006F28A1">
      <w:pPr>
        <w:rPr>
          <w:rFonts w:ascii="Arial Narrow" w:hAnsi="Arial Narrow"/>
          <w:sz w:val="16"/>
          <w:szCs w:val="16"/>
        </w:rPr>
      </w:pPr>
      <w:r w:rsidRPr="0073158E">
        <w:rPr>
          <w:rFonts w:ascii="Arial Narrow" w:hAnsi="Arial Narrow"/>
          <w:sz w:val="16"/>
          <w:szCs w:val="16"/>
        </w:rPr>
        <w:t>Elaboró: Camilo Molano</w:t>
      </w:r>
      <w:r>
        <w:rPr>
          <w:rFonts w:ascii="Arial Narrow" w:hAnsi="Arial Narrow"/>
          <w:sz w:val="16"/>
          <w:szCs w:val="16"/>
        </w:rPr>
        <w:t xml:space="preserve"> Trujillo -Subdirección de Asuntos Postales </w:t>
      </w:r>
    </w:p>
    <w:p w14:paraId="2367612A" w14:textId="19B92A3A" w:rsidR="006F28A1" w:rsidRDefault="006F28A1" w:rsidP="006F28A1">
      <w:pPr>
        <w:rPr>
          <w:rFonts w:ascii="Arial Narrow" w:hAnsi="Arial Narrow"/>
          <w:sz w:val="16"/>
          <w:szCs w:val="16"/>
        </w:rPr>
      </w:pPr>
      <w:r>
        <w:rPr>
          <w:rFonts w:ascii="Arial Narrow" w:hAnsi="Arial Narrow"/>
          <w:sz w:val="16"/>
          <w:szCs w:val="16"/>
        </w:rPr>
        <w:t xml:space="preserve">               Claudia C. Martinez Becerra -</w:t>
      </w:r>
      <w:r w:rsidRPr="0073158E">
        <w:rPr>
          <w:rFonts w:ascii="Arial Narrow" w:hAnsi="Arial Narrow"/>
          <w:sz w:val="16"/>
          <w:szCs w:val="16"/>
        </w:rPr>
        <w:t xml:space="preserve"> </w:t>
      </w:r>
      <w:r>
        <w:rPr>
          <w:rFonts w:ascii="Arial Narrow" w:hAnsi="Arial Narrow"/>
          <w:sz w:val="16"/>
          <w:szCs w:val="16"/>
        </w:rPr>
        <w:t xml:space="preserve">Subdirección de Asuntos Postales </w:t>
      </w:r>
    </w:p>
    <w:p w14:paraId="50075090" w14:textId="028AA1F1" w:rsidR="006F28A1" w:rsidRDefault="006F28A1" w:rsidP="006F28A1">
      <w:pPr>
        <w:rPr>
          <w:rFonts w:ascii="Arial Narrow" w:hAnsi="Arial Narrow"/>
          <w:sz w:val="16"/>
          <w:szCs w:val="16"/>
        </w:rPr>
      </w:pPr>
    </w:p>
    <w:p w14:paraId="43AA8904" w14:textId="77777777" w:rsidR="006F28A1" w:rsidRPr="0073158E" w:rsidRDefault="006F28A1" w:rsidP="006F28A1">
      <w:pPr>
        <w:rPr>
          <w:rFonts w:ascii="Arial Narrow" w:hAnsi="Arial Narrow"/>
          <w:sz w:val="16"/>
          <w:szCs w:val="16"/>
        </w:rPr>
      </w:pPr>
    </w:p>
    <w:p w14:paraId="22F65694" w14:textId="11D39D0A" w:rsidR="0005030D" w:rsidRPr="006F28A1" w:rsidRDefault="0005030D" w:rsidP="006F28A1"/>
    <w:sectPr w:rsidR="0005030D" w:rsidRPr="006F28A1" w:rsidSect="008E35FA">
      <w:headerReference w:type="default" r:id="rId7"/>
      <w:footerReference w:type="default" r:id="rId8"/>
      <w:pgSz w:w="12242" w:h="15842" w:code="1"/>
      <w:pgMar w:top="2268" w:right="1134" w:bottom="1701" w:left="1701" w:header="284"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BEE98" w14:textId="77777777" w:rsidR="009C5EB9" w:rsidRDefault="009C5EB9">
      <w:r>
        <w:separator/>
      </w:r>
    </w:p>
  </w:endnote>
  <w:endnote w:type="continuationSeparator" w:id="0">
    <w:p w14:paraId="71347677" w14:textId="77777777" w:rsidR="009C5EB9" w:rsidRDefault="009C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96C8" w14:textId="18EDCEE7" w:rsidR="00015A70" w:rsidRPr="00674704" w:rsidRDefault="006F28A1" w:rsidP="001B489A">
    <w:pPr>
      <w:pStyle w:val="Piedepgina"/>
      <w:rPr>
        <w:szCs w:val="16"/>
      </w:rPr>
    </w:pPr>
    <w:r>
      <w:rPr>
        <w:noProof/>
        <w:lang w:eastAsia="es-CO"/>
      </w:rPr>
      <mc:AlternateContent>
        <mc:Choice Requires="wps">
          <w:drawing>
            <wp:anchor distT="0" distB="0" distL="114300" distR="114300" simplePos="0" relativeHeight="251661312" behindDoc="0" locked="0" layoutInCell="0" allowOverlap="1" wp14:anchorId="76272106" wp14:editId="69ED7402">
              <wp:simplePos x="0" y="0"/>
              <wp:positionH relativeFrom="page">
                <wp:posOffset>0</wp:posOffset>
              </wp:positionH>
              <wp:positionV relativeFrom="page">
                <wp:posOffset>9595485</wp:posOffset>
              </wp:positionV>
              <wp:extent cx="7773670" cy="273050"/>
              <wp:effectExtent l="0" t="0" r="0" b="12700"/>
              <wp:wrapNone/>
              <wp:docPr id="5" name="MSIPCM386546f389c562cfe8f5de3e" descr="{&quot;HashCode&quot;:-3240403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32735" w14:textId="285FAA8A" w:rsidR="006F28A1" w:rsidRPr="006F28A1" w:rsidRDefault="006F28A1" w:rsidP="006F28A1">
                          <w:pPr>
                            <w:rPr>
                              <w:rFonts w:ascii="Calibri" w:hAnsi="Calibri" w:cs="Calibri"/>
                              <w:color w:val="000000"/>
                              <w:sz w:val="20"/>
                            </w:rPr>
                          </w:pPr>
                          <w:r w:rsidRPr="006F28A1">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272106" id="_x0000_t202" coordsize="21600,21600" o:spt="202" path="m,l,21600r21600,l21600,xe">
              <v:stroke joinstyle="miter"/>
              <v:path gradientshapeok="t" o:connecttype="rect"/>
            </v:shapetype>
            <v:shape id="MSIPCM386546f389c562cfe8f5de3e" o:spid="_x0000_s1026" type="#_x0000_t202" alt="{&quot;HashCode&quot;:-324040364,&quot;Height&quot;:792.0,&quot;Width&quot;:612.0,&quot;Placement&quot;:&quot;Footer&quot;,&quot;Index&quot;:&quot;Primary&quot;,&quot;Section&quot;:1,&quot;Top&quot;:0.0,&quot;Left&quot;:0.0}" style="position:absolute;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" o:allowincell="f" filled="f" stroked="f" strokeweight=".5pt">
              <v:fill o:detectmouseclick="t"/>
              <v:textbox inset="20pt,0,,0">
                <w:txbxContent>
                  <w:p w14:paraId="57A32735" w14:textId="285FAA8A" w:rsidR="006F28A1" w:rsidRPr="006F28A1" w:rsidRDefault="006F28A1" w:rsidP="006F28A1">
                    <w:pPr>
                      <w:rPr>
                        <w:rFonts w:ascii="Calibri" w:hAnsi="Calibri" w:cs="Calibri"/>
                        <w:color w:val="000000"/>
                        <w:sz w:val="20"/>
                      </w:rPr>
                    </w:pPr>
                    <w:r w:rsidRPr="006F28A1">
                      <w:rPr>
                        <w:rFonts w:ascii="Calibri" w:hAnsi="Calibri" w:cs="Calibri"/>
                        <w:color w:val="000000"/>
                        <w:sz w:val="20"/>
                      </w:rPr>
                      <w:t>Pública</w:t>
                    </w:r>
                  </w:p>
                </w:txbxContent>
              </v:textbox>
              <w10:wrap anchorx="page" anchory="page"/>
            </v:shape>
          </w:pict>
        </mc:Fallback>
      </mc:AlternateContent>
    </w:r>
    <w:r w:rsidR="006D189E">
      <w:rPr>
        <w:noProof/>
        <w:lang w:eastAsia="es-CO"/>
      </w:rPr>
      <mc:AlternateContent>
        <mc:Choice Requires="wps">
          <w:drawing>
            <wp:anchor distT="0" distB="0" distL="114300" distR="114300" simplePos="0" relativeHeight="251660288" behindDoc="0" locked="0" layoutInCell="1" allowOverlap="1" wp14:anchorId="72A58B19" wp14:editId="76BEC904">
              <wp:simplePos x="0" y="0"/>
              <wp:positionH relativeFrom="column">
                <wp:posOffset>5101563</wp:posOffset>
              </wp:positionH>
              <wp:positionV relativeFrom="paragraph">
                <wp:posOffset>-795959</wp:posOffset>
              </wp:positionV>
              <wp:extent cx="1019331" cy="419724"/>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19331" cy="419724"/>
                      </a:xfrm>
                      <a:prstGeom prst="rect">
                        <a:avLst/>
                      </a:prstGeom>
                      <a:solidFill>
                        <a:schemeClr val="lt1"/>
                      </a:solidFill>
                      <a:ln w="6350">
                        <a:noFill/>
                      </a:ln>
                    </wps:spPr>
                    <wps:txbx>
                      <w:txbxContent>
                        <w:p w14:paraId="125A5B9F" w14:textId="5387D8FE" w:rsidR="006D189E" w:rsidRDefault="006D189E" w:rsidP="006D189E">
                          <w:pPr>
                            <w:pStyle w:val="Piedepgina"/>
                            <w:jc w:val="right"/>
                            <w:rPr>
                              <w:rFonts w:ascii="Arial Narrow" w:hAnsi="Arial Narrow"/>
                              <w:sz w:val="16"/>
                              <w:szCs w:val="16"/>
                              <w:lang w:val="en-US"/>
                            </w:rPr>
                          </w:pPr>
                          <w:r w:rsidRPr="00D95FAD">
                            <w:rPr>
                              <w:rFonts w:ascii="Arial Narrow" w:hAnsi="Arial Narrow"/>
                              <w:sz w:val="16"/>
                              <w:szCs w:val="16"/>
                              <w:lang w:val="en-US"/>
                            </w:rPr>
                            <w:t>GDO-TIC-FM-0</w:t>
                          </w:r>
                          <w:r w:rsidR="003D1145">
                            <w:rPr>
                              <w:rFonts w:ascii="Arial Narrow" w:hAnsi="Arial Narrow"/>
                              <w:sz w:val="16"/>
                              <w:szCs w:val="16"/>
                              <w:lang w:val="en-US"/>
                            </w:rPr>
                            <w:t>25</w:t>
                          </w:r>
                        </w:p>
                        <w:p w14:paraId="2F79932B" w14:textId="7FA1947F" w:rsidR="006D189E" w:rsidRPr="00D95FAD" w:rsidRDefault="006D189E" w:rsidP="006D189E">
                          <w:pPr>
                            <w:pStyle w:val="Piedepgina"/>
                            <w:jc w:val="right"/>
                            <w:rPr>
                              <w:szCs w:val="16"/>
                              <w:lang w:val="en-US"/>
                            </w:rPr>
                          </w:pPr>
                          <w:r w:rsidRPr="00D95FAD">
                            <w:rPr>
                              <w:rFonts w:ascii="Arial Narrow" w:hAnsi="Arial Narrow"/>
                              <w:sz w:val="16"/>
                              <w:szCs w:val="16"/>
                              <w:lang w:val="en-US"/>
                            </w:rPr>
                            <w:t xml:space="preserve"> V</w:t>
                          </w:r>
                          <w:r w:rsidR="00EF45D1">
                            <w:rPr>
                              <w:rFonts w:ascii="Arial Narrow" w:hAnsi="Arial Narrow"/>
                              <w:sz w:val="16"/>
                              <w:szCs w:val="16"/>
                              <w:lang w:val="en-US"/>
                            </w:rPr>
                            <w:t xml:space="preserve"> </w:t>
                          </w:r>
                          <w:r w:rsidR="007A75E4">
                            <w:rPr>
                              <w:rFonts w:ascii="Arial Narrow" w:hAnsi="Arial Narrow"/>
                              <w:sz w:val="16"/>
                              <w:szCs w:val="16"/>
                              <w:lang w:val="en-US"/>
                            </w:rPr>
                            <w:t>6</w:t>
                          </w:r>
                          <w:r w:rsidR="003D1145">
                            <w:rPr>
                              <w:rFonts w:ascii="Arial Narrow" w:hAnsi="Arial Narrow"/>
                              <w:sz w:val="16"/>
                              <w:szCs w:val="16"/>
                              <w:lang w:val="en-US"/>
                            </w:rPr>
                            <w:t>.0</w:t>
                          </w:r>
                        </w:p>
                        <w:p w14:paraId="4CD660B4" w14:textId="77777777" w:rsidR="006D189E" w:rsidRDefault="006D1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58B19" id="Cuadro de texto 4" o:spid="_x0000_s1027" type="#_x0000_t202" style="position:absolute;margin-left:401.7pt;margin-top:-62.65pt;width:80.25pt;height:3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" fillcolor="white [3201]" stroked="f" strokeweight=".5pt">
              <v:textbox>
                <w:txbxContent>
                  <w:p w14:paraId="125A5B9F" w14:textId="5387D8FE" w:rsidR="006D189E" w:rsidRDefault="006D189E" w:rsidP="006D189E">
                    <w:pPr>
                      <w:pStyle w:val="Piedepgina"/>
                      <w:jc w:val="right"/>
                      <w:rPr>
                        <w:rFonts w:ascii="Arial Narrow" w:hAnsi="Arial Narrow"/>
                        <w:sz w:val="16"/>
                        <w:szCs w:val="16"/>
                        <w:lang w:val="en-US"/>
                      </w:rPr>
                    </w:pPr>
                    <w:r w:rsidRPr="00D95FAD">
                      <w:rPr>
                        <w:rFonts w:ascii="Arial Narrow" w:hAnsi="Arial Narrow"/>
                        <w:sz w:val="16"/>
                        <w:szCs w:val="16"/>
                        <w:lang w:val="en-US"/>
                      </w:rPr>
                      <w:t>GDO-TIC-FM-0</w:t>
                    </w:r>
                    <w:r w:rsidR="003D1145">
                      <w:rPr>
                        <w:rFonts w:ascii="Arial Narrow" w:hAnsi="Arial Narrow"/>
                        <w:sz w:val="16"/>
                        <w:szCs w:val="16"/>
                        <w:lang w:val="en-US"/>
                      </w:rPr>
                      <w:t>25</w:t>
                    </w:r>
                  </w:p>
                  <w:p w14:paraId="2F79932B" w14:textId="7FA1947F" w:rsidR="006D189E" w:rsidRPr="00D95FAD" w:rsidRDefault="006D189E" w:rsidP="006D189E">
                    <w:pPr>
                      <w:pStyle w:val="Piedepgina"/>
                      <w:jc w:val="right"/>
                      <w:rPr>
                        <w:szCs w:val="16"/>
                        <w:lang w:val="en-US"/>
                      </w:rPr>
                    </w:pPr>
                    <w:r w:rsidRPr="00D95FAD">
                      <w:rPr>
                        <w:rFonts w:ascii="Arial Narrow" w:hAnsi="Arial Narrow"/>
                        <w:sz w:val="16"/>
                        <w:szCs w:val="16"/>
                        <w:lang w:val="en-US"/>
                      </w:rPr>
                      <w:t xml:space="preserve"> V</w:t>
                    </w:r>
                    <w:r w:rsidR="00EF45D1">
                      <w:rPr>
                        <w:rFonts w:ascii="Arial Narrow" w:hAnsi="Arial Narrow"/>
                        <w:sz w:val="16"/>
                        <w:szCs w:val="16"/>
                        <w:lang w:val="en-US"/>
                      </w:rPr>
                      <w:t xml:space="preserve"> </w:t>
                    </w:r>
                    <w:r w:rsidR="007A75E4">
                      <w:rPr>
                        <w:rFonts w:ascii="Arial Narrow" w:hAnsi="Arial Narrow"/>
                        <w:sz w:val="16"/>
                        <w:szCs w:val="16"/>
                        <w:lang w:val="en-US"/>
                      </w:rPr>
                      <w:t>6</w:t>
                    </w:r>
                    <w:r w:rsidR="003D1145">
                      <w:rPr>
                        <w:rFonts w:ascii="Arial Narrow" w:hAnsi="Arial Narrow"/>
                        <w:sz w:val="16"/>
                        <w:szCs w:val="16"/>
                        <w:lang w:val="en-US"/>
                      </w:rPr>
                      <w:t>.0</w:t>
                    </w:r>
                  </w:p>
                  <w:p w14:paraId="4CD660B4" w14:textId="77777777" w:rsidR="006D189E" w:rsidRDefault="006D189E"/>
                </w:txbxContent>
              </v:textbox>
            </v:shape>
          </w:pict>
        </mc:Fallback>
      </mc:AlternateContent>
    </w:r>
    <w:r w:rsidR="00183D54">
      <w:rPr>
        <w:noProof/>
        <w:lang w:eastAsia="es-CO"/>
      </w:rPr>
      <mc:AlternateContent>
        <mc:Choice Requires="wps">
          <w:drawing>
            <wp:anchor distT="0" distB="0" distL="114300" distR="114300" simplePos="0" relativeHeight="251656192" behindDoc="0" locked="0" layoutInCell="1" allowOverlap="1" wp14:anchorId="781697FB" wp14:editId="711160EF">
              <wp:simplePos x="0" y="0"/>
              <wp:positionH relativeFrom="column">
                <wp:posOffset>-50800</wp:posOffset>
              </wp:positionH>
              <wp:positionV relativeFrom="paragraph">
                <wp:posOffset>-944880</wp:posOffset>
              </wp:positionV>
              <wp:extent cx="3200400" cy="733425"/>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Código Postal: 111711 . Bogotá, Colombia</w:t>
                          </w:r>
                        </w:p>
                        <w:p w14:paraId="7616CF0B" w14:textId="77777777" w:rsidR="001B489A" w:rsidRPr="00FC4F1B" w:rsidRDefault="001B489A" w:rsidP="001B489A">
                          <w:pPr>
                            <w:rPr>
                              <w:rFonts w:ascii="Arial" w:hAnsi="Arial"/>
                              <w:b/>
                              <w:color w:val="7F7F7F"/>
                              <w:sz w:val="14"/>
                            </w:rPr>
                          </w:pPr>
                          <w:r w:rsidRPr="00FC4F1B">
                            <w:rPr>
                              <w:rFonts w:ascii="Arial" w:hAnsi="Arial"/>
                              <w:b/>
                              <w:color w:val="7F7F7F"/>
                              <w:sz w:val="14"/>
                            </w:rPr>
                            <w:t>T: +57 (1) 3443460 Fax: 57 (1) 344 2248</w:t>
                          </w:r>
                        </w:p>
                        <w:p w14:paraId="1CBAA035" w14:textId="44881D11" w:rsidR="001B489A" w:rsidRPr="0070712D" w:rsidRDefault="001B489A" w:rsidP="001B489A">
                          <w:r w:rsidRPr="00FC4F1B">
                            <w:rPr>
                              <w:rFonts w:ascii="Arial" w:hAnsi="Arial"/>
                              <w:b/>
                              <w:color w:val="7F7F7F"/>
                              <w:sz w:val="14"/>
                            </w:rPr>
                            <w:t>www.mintic.gov.co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97FB" id="Text Box 17" o:spid="_x0000_s1028" type="#_x0000_t202" style="position:absolute;margin-left:-4pt;margin-top:-74.4pt;width:252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" filled="f" stroked="f">
              <v:textbox inset=",7.2pt,,7.2pt">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Código Postal: 111711 . Bogotá, Colombia</w:t>
                    </w:r>
                  </w:p>
                  <w:p w14:paraId="7616CF0B" w14:textId="77777777" w:rsidR="001B489A" w:rsidRPr="00FC4F1B" w:rsidRDefault="001B489A" w:rsidP="001B489A">
                    <w:pPr>
                      <w:rPr>
                        <w:rFonts w:ascii="Arial" w:hAnsi="Arial"/>
                        <w:b/>
                        <w:color w:val="7F7F7F"/>
                        <w:sz w:val="14"/>
                      </w:rPr>
                    </w:pPr>
                    <w:r w:rsidRPr="00FC4F1B">
                      <w:rPr>
                        <w:rFonts w:ascii="Arial" w:hAnsi="Arial"/>
                        <w:b/>
                        <w:color w:val="7F7F7F"/>
                        <w:sz w:val="14"/>
                      </w:rPr>
                      <w:t>T: +57 (1) 3443460 Fax: 57 (1) 344 2248</w:t>
                    </w:r>
                  </w:p>
                  <w:p w14:paraId="1CBAA035" w14:textId="44881D11" w:rsidR="001B489A" w:rsidRPr="0070712D" w:rsidRDefault="001B489A" w:rsidP="001B489A">
                    <w:r w:rsidRPr="00FC4F1B">
                      <w:rPr>
                        <w:rFonts w:ascii="Arial" w:hAnsi="Arial"/>
                        <w:b/>
                        <w:color w:val="7F7F7F"/>
                        <w:sz w:val="14"/>
                      </w:rPr>
                      <w:t>www.mintic.gov.co</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0BC53" w14:textId="77777777" w:rsidR="009C5EB9" w:rsidRDefault="009C5EB9">
      <w:r>
        <w:separator/>
      </w:r>
    </w:p>
  </w:footnote>
  <w:footnote w:type="continuationSeparator" w:id="0">
    <w:p w14:paraId="40D9B425" w14:textId="77777777" w:rsidR="009C5EB9" w:rsidRDefault="009C5EB9">
      <w:r>
        <w:continuationSeparator/>
      </w:r>
    </w:p>
  </w:footnote>
  <w:footnote w:id="1">
    <w:p w14:paraId="00573D17" w14:textId="77777777" w:rsidR="006F28A1" w:rsidRPr="00C6661A" w:rsidRDefault="006F28A1" w:rsidP="006F28A1">
      <w:pPr>
        <w:pStyle w:val="Textonotapie"/>
        <w:rPr>
          <w:i/>
          <w:iCs/>
          <w:lang w:val="es-MX"/>
        </w:rPr>
      </w:pPr>
      <w:r>
        <w:rPr>
          <w:rStyle w:val="Refdenotaalpie"/>
        </w:rPr>
        <w:footnoteRef/>
      </w:r>
      <w:r>
        <w:rPr>
          <w:rFonts w:ascii="Arial Narrow" w:hAnsi="Arial Narrow" w:cs="Tahoma"/>
          <w:color w:val="000000"/>
          <w:sz w:val="18"/>
          <w:szCs w:val="18"/>
        </w:rPr>
        <w:t xml:space="preserve"> </w:t>
      </w:r>
      <w:r w:rsidRPr="00C6661A">
        <w:rPr>
          <w:rFonts w:ascii="Arial Narrow" w:hAnsi="Arial Narrow" w:cs="Tahoma"/>
          <w:color w:val="000000"/>
          <w:sz w:val="18"/>
          <w:szCs w:val="18"/>
        </w:rPr>
        <w:t xml:space="preserve">Ley 1369 de 2009, de 2009. </w:t>
      </w:r>
      <w:r w:rsidRPr="00C6661A">
        <w:rPr>
          <w:rFonts w:ascii="Arial Narrow" w:hAnsi="Arial Narrow" w:cs="Tahoma"/>
          <w:i/>
          <w:iCs/>
          <w:color w:val="000000"/>
          <w:sz w:val="18"/>
          <w:szCs w:val="18"/>
        </w:rPr>
        <w:t>Por medio de la cual se establece el régimen de los servicios postales y se dictan otras disposiciones.</w:t>
      </w:r>
    </w:p>
  </w:footnote>
  <w:footnote w:id="2">
    <w:p w14:paraId="2DCF5EA4" w14:textId="77777777" w:rsidR="006F28A1" w:rsidRPr="00C6661A" w:rsidRDefault="006F28A1" w:rsidP="006F28A1">
      <w:pPr>
        <w:pStyle w:val="Textonotapie"/>
        <w:jc w:val="both"/>
        <w:rPr>
          <w:lang w:val="es-MX"/>
        </w:rPr>
      </w:pPr>
      <w:r>
        <w:rPr>
          <w:rStyle w:val="Refdenotaalpie"/>
        </w:rPr>
        <w:footnoteRef/>
      </w:r>
      <w:r>
        <w:t xml:space="preserve"> </w:t>
      </w:r>
      <w:r w:rsidRPr="00C6661A">
        <w:rPr>
          <w:rFonts w:ascii="Arial Narrow" w:hAnsi="Arial Narrow" w:cs="Tahoma"/>
          <w:color w:val="000000"/>
          <w:sz w:val="18"/>
          <w:szCs w:val="18"/>
        </w:rPr>
        <w:t>Resolución 2564 de 2016</w:t>
      </w:r>
      <w:r>
        <w:rPr>
          <w:rFonts w:ascii="Arial Narrow" w:hAnsi="Arial Narrow" w:cs="Tahoma"/>
          <w:color w:val="000000"/>
          <w:sz w:val="18"/>
          <w:szCs w:val="18"/>
        </w:rPr>
        <w:t>.</w:t>
      </w:r>
      <w:r w:rsidRPr="00C746F3">
        <w:rPr>
          <w:rFonts w:ascii="Arial Narrow" w:hAnsi="Arial Narrow" w:cs="Arial"/>
          <w:color w:val="000000"/>
        </w:rPr>
        <w:t xml:space="preserve"> </w:t>
      </w:r>
      <w:r>
        <w:rPr>
          <w:rFonts w:ascii="Arial Narrow" w:hAnsi="Arial Narrow" w:cs="Tahoma"/>
          <w:i/>
          <w:iCs/>
          <w:color w:val="000000"/>
          <w:sz w:val="18"/>
          <w:szCs w:val="18"/>
        </w:rPr>
        <w:t xml:space="preserve">Por la </w:t>
      </w:r>
      <w:r w:rsidRPr="00C6661A">
        <w:rPr>
          <w:rFonts w:ascii="Arial Narrow" w:hAnsi="Arial Narrow" w:cs="Tahoma"/>
          <w:i/>
          <w:iCs/>
          <w:color w:val="000000"/>
          <w:sz w:val="18"/>
          <w:szCs w:val="18"/>
        </w:rPr>
        <w:t>cual establece</w:t>
      </w:r>
      <w:r>
        <w:rPr>
          <w:rFonts w:ascii="Arial Narrow" w:hAnsi="Arial Narrow" w:cs="Tahoma"/>
          <w:i/>
          <w:iCs/>
          <w:color w:val="000000"/>
          <w:sz w:val="18"/>
          <w:szCs w:val="18"/>
        </w:rPr>
        <w:t>n</w:t>
      </w:r>
      <w:r w:rsidRPr="00C6661A">
        <w:rPr>
          <w:rFonts w:ascii="Arial Narrow" w:hAnsi="Arial Narrow" w:cs="Tahoma"/>
          <w:i/>
          <w:iCs/>
          <w:color w:val="000000"/>
          <w:sz w:val="18"/>
          <w:szCs w:val="18"/>
        </w:rPr>
        <w:t xml:space="preserve"> las reglas relativas al Sistema de Administración del Riesgo de Lavados de Activos y Financiación del Terrorismo (LA/FT)</w:t>
      </w:r>
      <w:r>
        <w:rPr>
          <w:rFonts w:ascii="Arial Narrow" w:hAnsi="Arial Narrow" w:cs="Tahoma"/>
          <w:i/>
          <w:iCs/>
          <w:color w:val="000000"/>
          <w:sz w:val="18"/>
          <w:szCs w:val="18"/>
        </w:rPr>
        <w:t xml:space="preserve"> para los operadores postales de pago y se deroga la Resolución 3677 de 2013.</w:t>
      </w:r>
    </w:p>
  </w:footnote>
  <w:footnote w:id="3">
    <w:p w14:paraId="076E97C5" w14:textId="77777777" w:rsidR="006F28A1" w:rsidRPr="00C6661A" w:rsidRDefault="006F28A1" w:rsidP="006F28A1">
      <w:pPr>
        <w:pStyle w:val="Textonotapie"/>
        <w:jc w:val="both"/>
        <w:rPr>
          <w:lang w:val="es-MX"/>
        </w:rPr>
      </w:pPr>
      <w:r>
        <w:rPr>
          <w:rStyle w:val="Refdenotaalpie"/>
        </w:rPr>
        <w:footnoteRef/>
      </w:r>
      <w:r>
        <w:t xml:space="preserve"> </w:t>
      </w:r>
      <w:r w:rsidRPr="00C6661A">
        <w:rPr>
          <w:rFonts w:ascii="Arial Narrow" w:hAnsi="Arial Narrow" w:cs="Tahoma"/>
          <w:color w:val="000000"/>
          <w:sz w:val="18"/>
          <w:szCs w:val="18"/>
        </w:rPr>
        <w:t>Ley 1186 de 2009.</w:t>
      </w:r>
      <w:r>
        <w:rPr>
          <w:rFonts w:ascii="Arial Narrow" w:hAnsi="Arial Narrow" w:cs="Arial"/>
        </w:rPr>
        <w:t xml:space="preserve"> </w:t>
      </w:r>
      <w:r w:rsidRPr="00C6661A">
        <w:rPr>
          <w:rFonts w:ascii="Arial Narrow" w:hAnsi="Arial Narrow" w:cs="Tahoma"/>
          <w:i/>
          <w:iCs/>
          <w:color w:val="000000"/>
          <w:sz w:val="18"/>
          <w:szCs w:val="18"/>
        </w:rPr>
        <w:t>Por medio de la cual se aprueba el “Memorando de Entendimiento entre los Gobiernos de los Estados del Grupo de Acción Financiera de Sudamérica contra el Lavado de Activos (Gafisud)”, firmado en Cartagena de Indias el 8 de diciembre de 2000, la “Modificación del memorando de entendimiento entre los gobiernos de los Estados del Grupo de Acción Financiera de Sudamérica contra el Lavado de Activos (Gafisud)”, firmada en Santiago de Chile el 6 de diciembre de 2001, y la “Modificación al memorando de entendimiento entre los Gobiernos de los Estados del Grupo de Acción Financiera de Sudamérica contra el Lavado de Activos (Gafisud)” firmada en Brasilia el 21 de julio de 2006.</w:t>
      </w:r>
    </w:p>
  </w:footnote>
  <w:footnote w:id="4">
    <w:p w14:paraId="38C1086E" w14:textId="77777777" w:rsidR="006F28A1" w:rsidRPr="00C6661A" w:rsidRDefault="006F28A1" w:rsidP="006F28A1">
      <w:pPr>
        <w:pStyle w:val="Textonotapie"/>
        <w:rPr>
          <w:lang w:val="es-MX"/>
        </w:rPr>
      </w:pPr>
      <w:r>
        <w:rPr>
          <w:rStyle w:val="Refdenotaalpie"/>
        </w:rPr>
        <w:footnoteRef/>
      </w:r>
      <w:r>
        <w:t xml:space="preserve"> </w:t>
      </w:r>
      <w:r w:rsidRPr="00C6661A">
        <w:rPr>
          <w:rFonts w:ascii="Arial Narrow" w:hAnsi="Arial Narrow" w:cs="Tahoma"/>
          <w:color w:val="000000"/>
          <w:sz w:val="18"/>
          <w:szCs w:val="18"/>
        </w:rPr>
        <w:t>Corte Constitucional</w:t>
      </w:r>
      <w:r>
        <w:t xml:space="preserve">. </w:t>
      </w:r>
      <w:r w:rsidRPr="00C6661A">
        <w:rPr>
          <w:rFonts w:ascii="Arial Narrow" w:hAnsi="Arial Narrow" w:cs="Tahoma"/>
          <w:i/>
          <w:iCs/>
          <w:color w:val="000000"/>
          <w:sz w:val="18"/>
          <w:szCs w:val="18"/>
        </w:rPr>
        <w:t>Memorando y ley aprobatoria declarados EXEQUIBLES por la Corte Constitucional mediante Sentencia </w:t>
      </w:r>
      <w:hyperlink r:id="rId1" w:anchor="INICIO" w:history="1">
        <w:r w:rsidRPr="00C6661A">
          <w:rPr>
            <w:rFonts w:ascii="Arial Narrow" w:hAnsi="Arial Narrow" w:cs="Tahoma"/>
            <w:i/>
            <w:iCs/>
            <w:color w:val="000000"/>
          </w:rPr>
          <w:t>C-685-09</w:t>
        </w:r>
      </w:hyperlink>
      <w:r w:rsidRPr="00C6661A">
        <w:rPr>
          <w:rFonts w:ascii="Arial Narrow" w:hAnsi="Arial Narrow" w:cs="Tahoma"/>
          <w:i/>
          <w:iCs/>
          <w:color w:val="000000"/>
          <w:sz w:val="18"/>
          <w:szCs w:val="18"/>
        </w:rPr>
        <w:t> de 30 de septiembre de 2009, Magistrado Ponente Dr. Luis Ernesto Vargas Silva.</w:t>
      </w:r>
    </w:p>
  </w:footnote>
  <w:footnote w:id="5">
    <w:p w14:paraId="606D2FB6" w14:textId="77777777" w:rsidR="006F28A1" w:rsidRPr="00C6661A" w:rsidRDefault="006F28A1" w:rsidP="006F28A1">
      <w:pPr>
        <w:pStyle w:val="Textonotapie"/>
        <w:jc w:val="both"/>
        <w:rPr>
          <w:lang w:val="es-MX"/>
        </w:rPr>
      </w:pPr>
      <w:r>
        <w:rPr>
          <w:rStyle w:val="Refdenotaalpie"/>
        </w:rPr>
        <w:footnoteRef/>
      </w:r>
      <w:r>
        <w:t xml:space="preserve"> </w:t>
      </w:r>
      <w:r w:rsidRPr="00C6661A">
        <w:rPr>
          <w:rFonts w:ascii="Arial Narrow" w:hAnsi="Arial Narrow"/>
          <w:sz w:val="18"/>
          <w:szCs w:val="18"/>
        </w:rPr>
        <w:t>https://www.gafilat.org/index.php/es/biblioteca-virtual/miembros/colombia/evaluaciones-mutuas-4/3286-informe-de-evaluacion-mutua-de-colombia/file.</w:t>
      </w:r>
    </w:p>
  </w:footnote>
  <w:footnote w:id="6">
    <w:p w14:paraId="57CC4B75" w14:textId="77777777" w:rsidR="006F28A1" w:rsidRPr="00FC3B67" w:rsidRDefault="006F28A1" w:rsidP="006F28A1">
      <w:pPr>
        <w:pStyle w:val="Textonotapie"/>
        <w:rPr>
          <w:lang w:val="es-MX"/>
        </w:rPr>
      </w:pPr>
      <w:r>
        <w:rPr>
          <w:rStyle w:val="Refdenotaalpie"/>
        </w:rPr>
        <w:footnoteRef/>
      </w:r>
      <w:r>
        <w:t xml:space="preserve"> </w:t>
      </w:r>
      <w:r w:rsidRPr="00FC3B67">
        <w:rPr>
          <w:rFonts w:ascii="Arial Narrow" w:hAnsi="Arial Narrow"/>
          <w:sz w:val="18"/>
          <w:szCs w:val="18"/>
        </w:rPr>
        <w:t>Ley 1753 de 2015</w:t>
      </w:r>
      <w:r w:rsidRPr="00FC3B67">
        <w:t xml:space="preserve">. </w:t>
      </w:r>
      <w:r w:rsidRPr="00FC3B67">
        <w:rPr>
          <w:rFonts w:ascii="Arial Narrow" w:hAnsi="Arial Narrow"/>
          <w:i/>
          <w:iCs/>
          <w:sz w:val="18"/>
          <w:szCs w:val="18"/>
        </w:rPr>
        <w:t>Por la cual se expide el Plan Nacional de Desarrollo 2014-2018 “Todos por un nuevo país.</w:t>
      </w:r>
    </w:p>
  </w:footnote>
  <w:footnote w:id="7">
    <w:p w14:paraId="5377A863" w14:textId="77777777" w:rsidR="006F28A1" w:rsidRPr="00FC3B67" w:rsidRDefault="006F28A1" w:rsidP="006F28A1">
      <w:pPr>
        <w:pStyle w:val="Textonotapie"/>
        <w:jc w:val="both"/>
        <w:rPr>
          <w:lang w:val="es-MX"/>
        </w:rPr>
      </w:pPr>
      <w:r>
        <w:rPr>
          <w:rStyle w:val="Refdenotaalpie"/>
        </w:rPr>
        <w:footnoteRef/>
      </w:r>
      <w:r>
        <w:t xml:space="preserve"> </w:t>
      </w:r>
      <w:r w:rsidRPr="00FC3B67">
        <w:rPr>
          <w:rFonts w:ascii="Arial Narrow" w:hAnsi="Arial Narrow"/>
          <w:sz w:val="18"/>
          <w:szCs w:val="18"/>
        </w:rPr>
        <w:t>Resolución No. 5633 de 2016.</w:t>
      </w:r>
      <w:r w:rsidRPr="00FC3B67">
        <w:rPr>
          <w:rFonts w:ascii="Arial Narrow" w:hAnsi="Arial Narrow"/>
          <w:i/>
          <w:iCs/>
          <w:sz w:val="18"/>
          <w:szCs w:val="18"/>
        </w:rPr>
        <w:t xml:space="preserve"> Por la cual se reglamentan las condiciones y el procedimiento para el acceso a las bases de datos de la información que produce y administra la Registraduría Nacional del Estado Civil.</w:t>
      </w:r>
    </w:p>
  </w:footnote>
  <w:footnote w:id="8">
    <w:p w14:paraId="3083B27C" w14:textId="77777777" w:rsidR="006F28A1" w:rsidRPr="00C6661A" w:rsidRDefault="006F28A1" w:rsidP="006F28A1">
      <w:pPr>
        <w:pStyle w:val="Textonotapie"/>
        <w:jc w:val="both"/>
        <w:rPr>
          <w:lang w:val="es-MX"/>
        </w:rPr>
      </w:pPr>
      <w:r>
        <w:rPr>
          <w:rStyle w:val="Refdenotaalpie"/>
        </w:rPr>
        <w:footnoteRef/>
      </w:r>
      <w:r>
        <w:t xml:space="preserve"> </w:t>
      </w:r>
      <w:r w:rsidRPr="00FC3B67">
        <w:rPr>
          <w:rFonts w:ascii="Arial Narrow" w:hAnsi="Arial Narrow"/>
          <w:sz w:val="18"/>
          <w:szCs w:val="18"/>
        </w:rPr>
        <w:t>Resolució</w:t>
      </w:r>
      <w:r>
        <w:rPr>
          <w:rFonts w:ascii="Arial Narrow" w:hAnsi="Arial Narrow"/>
          <w:sz w:val="18"/>
          <w:szCs w:val="18"/>
        </w:rPr>
        <w:t xml:space="preserve">n 1056 de 10 de febrero de 2021. </w:t>
      </w:r>
      <w:r w:rsidRPr="00C6661A">
        <w:rPr>
          <w:rFonts w:ascii="Arial Narrow" w:hAnsi="Arial Narrow"/>
          <w:i/>
          <w:iCs/>
          <w:sz w:val="18"/>
          <w:szCs w:val="18"/>
        </w:rPr>
        <w:t xml:space="preserve">Por la cual se incrementan las tarifas de los diferentes </w:t>
      </w:r>
      <w:r w:rsidRPr="00056157">
        <w:rPr>
          <w:rFonts w:ascii="Arial Narrow" w:hAnsi="Arial Narrow"/>
          <w:i/>
          <w:iCs/>
          <w:sz w:val="18"/>
          <w:szCs w:val="18"/>
        </w:rPr>
        <w:t>hechos</w:t>
      </w:r>
      <w:r w:rsidRPr="00C6661A">
        <w:rPr>
          <w:rFonts w:ascii="Arial Narrow" w:hAnsi="Arial Narrow"/>
          <w:i/>
          <w:iCs/>
          <w:sz w:val="18"/>
          <w:szCs w:val="18"/>
        </w:rPr>
        <w:t xml:space="preserve"> generadores por los servicios que presta la </w:t>
      </w:r>
      <w:r w:rsidRPr="00056157">
        <w:rPr>
          <w:rFonts w:ascii="Arial Narrow" w:hAnsi="Arial Narrow"/>
          <w:i/>
          <w:iCs/>
          <w:sz w:val="18"/>
          <w:szCs w:val="18"/>
        </w:rPr>
        <w:t>Registraduría</w:t>
      </w:r>
      <w:r w:rsidRPr="00C6661A">
        <w:rPr>
          <w:rFonts w:ascii="Arial Narrow" w:hAnsi="Arial Narrow"/>
          <w:i/>
          <w:iCs/>
          <w:sz w:val="18"/>
          <w:szCs w:val="18"/>
        </w:rPr>
        <w:t xml:space="preserve"> Nacional del Estado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650B" w14:textId="4B04E463" w:rsidR="00015A70" w:rsidRPr="00F217D3" w:rsidRDefault="00A51792" w:rsidP="00F217D3">
    <w:pPr>
      <w:pStyle w:val="Encabezado"/>
      <w:rPr>
        <w:lang w:val="es-ES_tradnl"/>
      </w:rPr>
    </w:pPr>
    <w:r>
      <w:rPr>
        <w:noProof/>
        <w:lang w:eastAsia="es-CO"/>
      </w:rPr>
      <w:drawing>
        <wp:anchor distT="0" distB="0" distL="114300" distR="114300" simplePos="0" relativeHeight="251658240" behindDoc="0" locked="0" layoutInCell="1" allowOverlap="1" wp14:anchorId="153622BD" wp14:editId="110027C5">
          <wp:simplePos x="0" y="0"/>
          <wp:positionH relativeFrom="margin">
            <wp:align>left</wp:align>
          </wp:positionH>
          <wp:positionV relativeFrom="paragraph">
            <wp:posOffset>115298</wp:posOffset>
          </wp:positionV>
          <wp:extent cx="3204845" cy="6724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3204845" cy="67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9AE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890318"/>
    <w:multiLevelType w:val="hybridMultilevel"/>
    <w:tmpl w:val="DCF2B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15A70"/>
    <w:rsid w:val="00016629"/>
    <w:rsid w:val="0002208B"/>
    <w:rsid w:val="00030CA8"/>
    <w:rsid w:val="0005030D"/>
    <w:rsid w:val="00060601"/>
    <w:rsid w:val="000C6FE5"/>
    <w:rsid w:val="000D2A5A"/>
    <w:rsid w:val="000D3CD8"/>
    <w:rsid w:val="000E4D37"/>
    <w:rsid w:val="000E5281"/>
    <w:rsid w:val="000F5CA8"/>
    <w:rsid w:val="00107980"/>
    <w:rsid w:val="00183D54"/>
    <w:rsid w:val="00195548"/>
    <w:rsid w:val="001B489A"/>
    <w:rsid w:val="001F2251"/>
    <w:rsid w:val="00203623"/>
    <w:rsid w:val="002551AE"/>
    <w:rsid w:val="0027710B"/>
    <w:rsid w:val="00283622"/>
    <w:rsid w:val="002B16A1"/>
    <w:rsid w:val="002E42AB"/>
    <w:rsid w:val="00327C1B"/>
    <w:rsid w:val="00331D2A"/>
    <w:rsid w:val="0033596E"/>
    <w:rsid w:val="00366EC3"/>
    <w:rsid w:val="003A65F4"/>
    <w:rsid w:val="003C656E"/>
    <w:rsid w:val="003D1145"/>
    <w:rsid w:val="003F077C"/>
    <w:rsid w:val="00454C3A"/>
    <w:rsid w:val="004B09DF"/>
    <w:rsid w:val="004F697C"/>
    <w:rsid w:val="00576B45"/>
    <w:rsid w:val="0057782B"/>
    <w:rsid w:val="005E5B9D"/>
    <w:rsid w:val="005E6332"/>
    <w:rsid w:val="005E64AE"/>
    <w:rsid w:val="006301CF"/>
    <w:rsid w:val="00656EDF"/>
    <w:rsid w:val="00663775"/>
    <w:rsid w:val="006A69FA"/>
    <w:rsid w:val="006D189E"/>
    <w:rsid w:val="006F28A1"/>
    <w:rsid w:val="007046ED"/>
    <w:rsid w:val="0070712D"/>
    <w:rsid w:val="007331C2"/>
    <w:rsid w:val="00733EBC"/>
    <w:rsid w:val="00743C20"/>
    <w:rsid w:val="00785EF0"/>
    <w:rsid w:val="007A75E4"/>
    <w:rsid w:val="007D6667"/>
    <w:rsid w:val="007E28E5"/>
    <w:rsid w:val="007E7F5B"/>
    <w:rsid w:val="008176F7"/>
    <w:rsid w:val="00831C96"/>
    <w:rsid w:val="008440EA"/>
    <w:rsid w:val="00851361"/>
    <w:rsid w:val="008543D6"/>
    <w:rsid w:val="00893025"/>
    <w:rsid w:val="008C216B"/>
    <w:rsid w:val="008D582A"/>
    <w:rsid w:val="008E35FA"/>
    <w:rsid w:val="008F425F"/>
    <w:rsid w:val="00901593"/>
    <w:rsid w:val="009556FE"/>
    <w:rsid w:val="0098392A"/>
    <w:rsid w:val="009C5EB9"/>
    <w:rsid w:val="009D7996"/>
    <w:rsid w:val="00A03E34"/>
    <w:rsid w:val="00A51792"/>
    <w:rsid w:val="00A643B1"/>
    <w:rsid w:val="00A648F1"/>
    <w:rsid w:val="00A83B9A"/>
    <w:rsid w:val="00A83CB2"/>
    <w:rsid w:val="00B22948"/>
    <w:rsid w:val="00B57374"/>
    <w:rsid w:val="00B9482F"/>
    <w:rsid w:val="00B9742D"/>
    <w:rsid w:val="00BA0D6E"/>
    <w:rsid w:val="00BF5C62"/>
    <w:rsid w:val="00C31A7E"/>
    <w:rsid w:val="00CB43EE"/>
    <w:rsid w:val="00CE7449"/>
    <w:rsid w:val="00D04BF1"/>
    <w:rsid w:val="00D579AB"/>
    <w:rsid w:val="00D61248"/>
    <w:rsid w:val="00D9368C"/>
    <w:rsid w:val="00DD0C3F"/>
    <w:rsid w:val="00E0457A"/>
    <w:rsid w:val="00E35A5E"/>
    <w:rsid w:val="00E5303D"/>
    <w:rsid w:val="00EA2AD5"/>
    <w:rsid w:val="00EC0F6D"/>
    <w:rsid w:val="00EE2726"/>
    <w:rsid w:val="00EF45D1"/>
    <w:rsid w:val="00F03133"/>
    <w:rsid w:val="00F217D3"/>
    <w:rsid w:val="00F3343B"/>
    <w:rsid w:val="00F423D1"/>
    <w:rsid w:val="00F53B9F"/>
    <w:rsid w:val="00FC4F1B"/>
    <w:rsid w:val="00FF2F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1B4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FE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22F"/>
    <w:pPr>
      <w:tabs>
        <w:tab w:val="center" w:pos="4252"/>
        <w:tab w:val="right" w:pos="8504"/>
      </w:tabs>
    </w:pPr>
  </w:style>
  <w:style w:type="paragraph" w:styleId="Piedepgina">
    <w:name w:val="footer"/>
    <w:basedOn w:val="Normal"/>
    <w:link w:val="PiedepginaCar"/>
    <w:rsid w:val="0044622F"/>
    <w:pPr>
      <w:tabs>
        <w:tab w:val="center" w:pos="4252"/>
        <w:tab w:val="right" w:pos="8504"/>
      </w:tabs>
    </w:pPr>
  </w:style>
  <w:style w:type="character" w:styleId="Hipervnculo">
    <w:name w:val="Hyperlink"/>
    <w:rsid w:val="0044622F"/>
    <w:rPr>
      <w:color w:val="0000FF"/>
      <w:u w:val="single"/>
    </w:rPr>
  </w:style>
  <w:style w:type="character" w:customStyle="1" w:styleId="EncabezadoCar">
    <w:name w:val="Encabezado Car"/>
    <w:link w:val="Encabezado"/>
    <w:locked/>
    <w:rsid w:val="005536FF"/>
    <w:rPr>
      <w:sz w:val="24"/>
      <w:szCs w:val="24"/>
      <w:lang w:val="es-CO"/>
    </w:rPr>
  </w:style>
  <w:style w:type="character" w:customStyle="1" w:styleId="PiedepginaCar">
    <w:name w:val="Pie de página Car"/>
    <w:link w:val="Piedepgina"/>
    <w:rsid w:val="008B6007"/>
    <w:rPr>
      <w:sz w:val="24"/>
      <w:szCs w:val="24"/>
      <w:lang w:val="es-CO"/>
    </w:rPr>
  </w:style>
  <w:style w:type="character" w:styleId="Hipervnculovisitado">
    <w:name w:val="FollowedHyperlink"/>
    <w:rsid w:val="00235F31"/>
    <w:rPr>
      <w:color w:val="800080"/>
      <w:u w:val="single"/>
    </w:rPr>
  </w:style>
  <w:style w:type="paragraph" w:styleId="Textodeglobo">
    <w:name w:val="Balloon Text"/>
    <w:basedOn w:val="Normal"/>
    <w:link w:val="TextodegloboCar"/>
    <w:rsid w:val="00EC0F6D"/>
    <w:rPr>
      <w:rFonts w:ascii="Lucida Grande" w:hAnsi="Lucida Grande"/>
      <w:sz w:val="18"/>
      <w:szCs w:val="18"/>
    </w:rPr>
  </w:style>
  <w:style w:type="character" w:customStyle="1" w:styleId="TextodegloboCar">
    <w:name w:val="Texto de globo Car"/>
    <w:link w:val="Textodeglobo"/>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paragraph" w:styleId="Textonotapie">
    <w:name w:val="footnote text"/>
    <w:basedOn w:val="Normal"/>
    <w:link w:val="TextonotapieCar"/>
    <w:rsid w:val="006F28A1"/>
    <w:rPr>
      <w:sz w:val="22"/>
      <w:szCs w:val="20"/>
      <w:lang w:val="es-ES_tradnl" w:eastAsia="en-US"/>
    </w:rPr>
  </w:style>
  <w:style w:type="character" w:customStyle="1" w:styleId="TextonotapieCar">
    <w:name w:val="Texto nota pie Car"/>
    <w:basedOn w:val="Fuentedeprrafopredeter"/>
    <w:link w:val="Textonotapie"/>
    <w:rsid w:val="006F28A1"/>
    <w:rPr>
      <w:sz w:val="22"/>
      <w:lang w:val="es-ES_tradnl" w:eastAsia="en-US"/>
    </w:rPr>
  </w:style>
  <w:style w:type="character" w:styleId="Refdenotaalpie">
    <w:name w:val="footnote reference"/>
    <w:unhideWhenUsed/>
    <w:rsid w:val="006F2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685_2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1918</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Ministerio de Comunicaciones</Company>
  <LinksUpToDate>false</LinksUpToDate>
  <CharactersWithSpaces>12447</CharactersWithSpaces>
  <SharedDoc>false</SharedDoc>
  <HLinks>
    <vt:vector size="36" baseType="variant">
      <vt:variant>
        <vt:i4>786437</vt:i4>
      </vt:variant>
      <vt:variant>
        <vt:i4>33</vt:i4>
      </vt:variant>
      <vt:variant>
        <vt:i4>0</vt:i4>
      </vt:variant>
      <vt:variant>
        <vt:i4>5</vt:i4>
      </vt:variant>
      <vt:variant>
        <vt:lpwstr>http://micrositios.mintic.gov.co/rendicion_cuentas_2015/</vt:lpwstr>
      </vt:variant>
      <vt:variant>
        <vt:lpwstr/>
      </vt:variant>
      <vt:variant>
        <vt:i4>5636206</vt:i4>
      </vt:variant>
      <vt:variant>
        <vt:i4>30</vt:i4>
      </vt:variant>
      <vt:variant>
        <vt:i4>0</vt:i4>
      </vt:variant>
      <vt:variant>
        <vt:i4>5</vt:i4>
      </vt:variant>
      <vt:variant>
        <vt:lpwstr>http://www.mintic.gov.co/portal/604/w3-propertyvalue-546.html</vt:lpwstr>
      </vt:variant>
      <vt:variant>
        <vt:lpwstr/>
      </vt:variant>
      <vt:variant>
        <vt:i4>2293880</vt:i4>
      </vt:variant>
      <vt:variant>
        <vt:i4>27</vt:i4>
      </vt:variant>
      <vt:variant>
        <vt:i4>0</vt:i4>
      </vt:variant>
      <vt:variant>
        <vt:i4>5</vt:i4>
      </vt:variant>
      <vt:variant>
        <vt:lpwstr>http://www.mintic.gov.co/portal/604/articles-13320_doc_pdf.pdf</vt:lpwstr>
      </vt:variant>
      <vt:variant>
        <vt:lpwstr/>
      </vt:variant>
      <vt:variant>
        <vt:i4>8257642</vt:i4>
      </vt:variant>
      <vt:variant>
        <vt:i4>-1</vt:i4>
      </vt:variant>
      <vt:variant>
        <vt:i4>2053</vt:i4>
      </vt:variant>
      <vt:variant>
        <vt:i4>1</vt:i4>
      </vt:variant>
      <vt:variant>
        <vt:lpwstr>mintic</vt:lpwstr>
      </vt:variant>
      <vt:variant>
        <vt:lpwstr/>
      </vt:variant>
      <vt:variant>
        <vt:i4>262145</vt:i4>
      </vt:variant>
      <vt:variant>
        <vt:i4>-1</vt:i4>
      </vt:variant>
      <vt:variant>
        <vt:i4>2054</vt:i4>
      </vt:variant>
      <vt:variant>
        <vt:i4>1</vt:i4>
      </vt:variant>
      <vt:variant>
        <vt:lpwstr>lema</vt:lpwstr>
      </vt:variant>
      <vt:variant>
        <vt:lpwstr/>
      </vt:variant>
      <vt:variant>
        <vt:i4>7667738</vt:i4>
      </vt:variant>
      <vt:variant>
        <vt:i4>-1</vt:i4>
      </vt:variant>
      <vt:variant>
        <vt:i4>2055</vt:i4>
      </vt:variant>
      <vt:variant>
        <vt:i4>1</vt:i4>
      </vt:variant>
      <vt:variant>
        <vt:lpwstr>vdgente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mlozano</dc:creator>
  <cp:keywords/>
  <cp:lastModifiedBy>Jairo Luis Marulanda Lazcarro</cp:lastModifiedBy>
  <cp:revision>4</cp:revision>
  <cp:lastPrinted>2018-11-23T12:55:00Z</cp:lastPrinted>
  <dcterms:created xsi:type="dcterms:W3CDTF">2021-12-24T05:50:00Z</dcterms:created>
  <dcterms:modified xsi:type="dcterms:W3CDTF">2021-12-24T11:27:00Z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da2c01-e402-4fc9-beb9-bac87f3a3b75_Enabled">
    <vt:lpwstr>true</vt:lpwstr>
  </property>
  <property fmtid="{D5CDD505-2E9C-101B-9397-08002B2CF9AE}" pid="3" name="MSIP_Label_f8da2c01-e402-4fc9-beb9-bac87f3a3b75_SetDate">
    <vt:lpwstr>2021-12-24T11:27:51Z</vt:lpwstr>
  </property>
  <property fmtid="{D5CDD505-2E9C-101B-9397-08002B2CF9AE}" pid="4" name="MSIP_Label_f8da2c01-e402-4fc9-beb9-bac87f3a3b75_Method">
    <vt:lpwstr>Privileged</vt:lpwstr>
  </property>
  <property fmtid="{D5CDD505-2E9C-101B-9397-08002B2CF9AE}" pid="5" name="MSIP_Label_f8da2c01-e402-4fc9-beb9-bac87f3a3b75_Name">
    <vt:lpwstr>f8da2c01-e402-4fc9-beb9-bac87f3a3b75</vt:lpwstr>
  </property>
  <property fmtid="{D5CDD505-2E9C-101B-9397-08002B2CF9AE}" pid="6" name="MSIP_Label_f8da2c01-e402-4fc9-beb9-bac87f3a3b75_SiteId">
    <vt:lpwstr>1a0673c6-24e1-476d-bb4d-ba6a91a3c588</vt:lpwstr>
  </property>
  <property fmtid="{D5CDD505-2E9C-101B-9397-08002B2CF9AE}" pid="7" name="MSIP_Label_f8da2c01-e402-4fc9-beb9-bac87f3a3b75_ActionId">
    <vt:lpwstr>dbff4b70-20cf-483d-b53e-b13cf773a19d</vt:lpwstr>
  </property>
  <property fmtid="{D5CDD505-2E9C-101B-9397-08002B2CF9AE}" pid="8" name="MSIP_Label_f8da2c01-e402-4fc9-beb9-bac87f3a3b75_ContentBits">
    <vt:lpwstr>2</vt:lpwstr>
  </property>
</Properties>
</file>