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1048" w14:textId="7347BB4F" w:rsidR="00377E26" w:rsidRDefault="00377E26" w:rsidP="002D0C4E">
      <w:pPr>
        <w:spacing w:line="276" w:lineRule="auto"/>
        <w:jc w:val="center"/>
        <w:rPr>
          <w:rFonts w:ascii="Arial Narrow" w:eastAsia="Arial Narrow" w:hAnsi="Arial Narrow" w:cs="Arial Narrow"/>
          <w:i/>
          <w:sz w:val="22"/>
          <w:szCs w:val="22"/>
        </w:rPr>
      </w:pPr>
      <w:bookmarkStart w:id="0" w:name="_Hlk106639153"/>
      <w:r w:rsidRPr="00482DFE">
        <w:rPr>
          <w:rFonts w:ascii="Arial Narrow" w:eastAsia="Arial Narrow" w:hAnsi="Arial Narrow" w:cs="Arial Narrow"/>
          <w:i/>
          <w:sz w:val="22"/>
          <w:szCs w:val="22"/>
        </w:rPr>
        <w:t>“Por la cual se modifica</w:t>
      </w:r>
      <w:r w:rsidR="002D0C4E" w:rsidRPr="00482DFE">
        <w:rPr>
          <w:rFonts w:ascii="Arial Narrow" w:eastAsia="Arial Narrow" w:hAnsi="Arial Narrow" w:cs="Arial Narrow"/>
          <w:i/>
          <w:sz w:val="22"/>
          <w:szCs w:val="22"/>
        </w:rPr>
        <w:t>n los artículos 3, 6</w:t>
      </w:r>
      <w:r w:rsidRPr="00482DFE"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r w:rsidR="002D0C4E" w:rsidRPr="00482DFE">
        <w:rPr>
          <w:rFonts w:ascii="Arial Narrow" w:eastAsia="Arial Narrow" w:hAnsi="Arial Narrow" w:cs="Arial Narrow"/>
          <w:i/>
          <w:sz w:val="22"/>
          <w:szCs w:val="22"/>
        </w:rPr>
        <w:t xml:space="preserve">y </w:t>
      </w:r>
      <w:r w:rsidRPr="00482DFE">
        <w:rPr>
          <w:rFonts w:ascii="Arial Narrow" w:eastAsia="Arial Narrow" w:hAnsi="Arial Narrow" w:cs="Arial Narrow"/>
          <w:i/>
          <w:sz w:val="22"/>
          <w:szCs w:val="22"/>
        </w:rPr>
        <w:t>10 de la Resolución 1292 de</w:t>
      </w:r>
      <w:r w:rsidR="002D0C4E" w:rsidRPr="00482DFE">
        <w:rPr>
          <w:rFonts w:ascii="Arial Narrow" w:eastAsia="Arial Narrow" w:hAnsi="Arial Narrow" w:cs="Arial Narrow"/>
          <w:i/>
          <w:sz w:val="22"/>
          <w:szCs w:val="22"/>
        </w:rPr>
        <w:t>l 31 de mayo de 2021”</w:t>
      </w:r>
    </w:p>
    <w:p w14:paraId="21E9B485" w14:textId="77777777" w:rsidR="00DD7ED6" w:rsidRDefault="00DD7ED6" w:rsidP="006734FC">
      <w:pPr>
        <w:spacing w:after="0" w:line="276" w:lineRule="auto"/>
        <w:jc w:val="center"/>
        <w:rPr>
          <w:rFonts w:ascii="Arial Narrow" w:eastAsia="Arial Narrow" w:hAnsi="Arial Narrow" w:cs="Arial Narrow"/>
          <w:i/>
          <w:sz w:val="22"/>
          <w:szCs w:val="22"/>
        </w:rPr>
      </w:pPr>
    </w:p>
    <w:bookmarkEnd w:id="0"/>
    <w:p w14:paraId="6134722B" w14:textId="78A24264" w:rsidR="00DD7ED6" w:rsidRPr="00482DFE" w:rsidRDefault="00377E26" w:rsidP="002D0C4E">
      <w:pPr>
        <w:pStyle w:val="Textoindependiente3"/>
        <w:spacing w:after="0"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  <w:lang w:val="es-ES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ES"/>
        </w:rPr>
        <w:t>LA MINISTRA DE TECNOLOGÍAS DE LA INFORMACIÓN Y LAS COMUNICACIONES</w:t>
      </w:r>
    </w:p>
    <w:p w14:paraId="0B6E9D05" w14:textId="77777777" w:rsidR="00377E26" w:rsidRPr="00482DFE" w:rsidRDefault="00377E26" w:rsidP="002D0C4E">
      <w:pPr>
        <w:pStyle w:val="Textoindependiente3"/>
        <w:spacing w:after="0" w:line="276" w:lineRule="auto"/>
        <w:rPr>
          <w:rFonts w:ascii="Arial Narrow" w:eastAsia="Arial Narrow" w:hAnsi="Arial Narrow" w:cs="Arial Narrow"/>
          <w:sz w:val="22"/>
          <w:szCs w:val="22"/>
        </w:rPr>
      </w:pPr>
    </w:p>
    <w:p w14:paraId="50959DCC" w14:textId="03D9F8DB" w:rsidR="00DD7ED6" w:rsidRPr="00482DFE" w:rsidRDefault="0057156D" w:rsidP="002D0C4E">
      <w:pPr>
        <w:spacing w:after="0" w:line="276" w:lineRule="auto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482DFE">
        <w:rPr>
          <w:rFonts w:ascii="Arial Narrow" w:eastAsia="Arial Narrow" w:hAnsi="Arial Narrow" w:cs="Arial Narrow"/>
          <w:sz w:val="22"/>
          <w:szCs w:val="22"/>
        </w:rPr>
        <w:t>En ejercicio de sus facultades</w:t>
      </w:r>
      <w:r w:rsidR="002F64A2" w:rsidRPr="00482DFE">
        <w:rPr>
          <w:rFonts w:ascii="Arial Narrow" w:eastAsia="Arial Narrow" w:hAnsi="Arial Narrow" w:cs="Arial Narrow"/>
          <w:sz w:val="22"/>
          <w:szCs w:val="22"/>
        </w:rPr>
        <w:t xml:space="preserve"> legales </w:t>
      </w:r>
      <w:r w:rsidR="00E0365C" w:rsidRPr="00482DFE">
        <w:rPr>
          <w:rFonts w:ascii="Arial Narrow" w:eastAsia="Arial Narrow" w:hAnsi="Arial Narrow" w:cs="Arial Narrow"/>
          <w:sz w:val="22"/>
          <w:szCs w:val="22"/>
        </w:rPr>
        <w:t>y reglamentarias</w:t>
      </w:r>
      <w:r w:rsidRPr="00482DFE">
        <w:rPr>
          <w:rFonts w:ascii="Arial Narrow" w:eastAsia="Arial Narrow" w:hAnsi="Arial Narrow" w:cs="Arial Narrow"/>
          <w:sz w:val="22"/>
          <w:szCs w:val="22"/>
        </w:rPr>
        <w:t>, en especial</w:t>
      </w:r>
      <w:r w:rsidR="00E0365C" w:rsidRPr="00482DFE">
        <w:rPr>
          <w:rFonts w:ascii="Arial Narrow" w:eastAsia="Arial Narrow" w:hAnsi="Arial Narrow" w:cs="Arial Narrow"/>
          <w:sz w:val="22"/>
          <w:szCs w:val="22"/>
        </w:rPr>
        <w:t>,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 las que le confieren </w:t>
      </w:r>
      <w:r w:rsidR="00682056" w:rsidRPr="00482DFE">
        <w:rPr>
          <w:rFonts w:ascii="Arial Narrow" w:eastAsia="Arial Narrow" w:hAnsi="Arial Narrow" w:cs="Arial Narrow"/>
          <w:sz w:val="22"/>
          <w:szCs w:val="22"/>
          <w:lang w:val="es-CO"/>
        </w:rPr>
        <w:t>el artículo 10 de la Ley 526 de 1999</w:t>
      </w:r>
      <w:r w:rsidR="001D6A62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, </w:t>
      </w:r>
      <w:r w:rsidR="00C62541" w:rsidRPr="00482DFE">
        <w:rPr>
          <w:rFonts w:ascii="Arial Narrow" w:eastAsia="Arial Narrow" w:hAnsi="Arial Narrow" w:cs="Arial Narrow"/>
          <w:sz w:val="22"/>
          <w:szCs w:val="22"/>
          <w:lang w:val="es-CO"/>
        </w:rPr>
        <w:t>el parágra</w:t>
      </w:r>
      <w:r w:rsidR="00EB734A" w:rsidRPr="00482DFE">
        <w:rPr>
          <w:rFonts w:ascii="Arial Narrow" w:eastAsia="Arial Narrow" w:hAnsi="Arial Narrow" w:cs="Arial Narrow"/>
          <w:sz w:val="22"/>
          <w:szCs w:val="22"/>
          <w:lang w:val="es-CO"/>
        </w:rPr>
        <w:t>fo</w:t>
      </w:r>
      <w:r w:rsidR="00C62541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2 del artículo 4 y el artículo </w:t>
      </w:r>
      <w:r w:rsidR="00682056" w:rsidRPr="00482DFE">
        <w:rPr>
          <w:rFonts w:ascii="Arial Narrow" w:eastAsia="Arial Narrow" w:hAnsi="Arial Narrow" w:cs="Arial Narrow"/>
          <w:sz w:val="22"/>
          <w:szCs w:val="22"/>
          <w:lang w:val="es-CO"/>
        </w:rPr>
        <w:t>18 de la Ley 1369 de 2009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 y</w:t>
      </w:r>
      <w:r w:rsidR="000A2936" w:rsidRPr="00482DFE">
        <w:rPr>
          <w:rFonts w:ascii="Arial Narrow" w:eastAsia="Arial Narrow" w:hAnsi="Arial Narrow" w:cs="Arial Narrow"/>
          <w:sz w:val="22"/>
          <w:szCs w:val="22"/>
        </w:rPr>
        <w:t>,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39E60AF5" w14:textId="77777777" w:rsidR="0057156D" w:rsidRPr="00482DFE" w:rsidRDefault="0057156D" w:rsidP="002D0C4E">
      <w:pPr>
        <w:spacing w:after="0" w:line="276" w:lineRule="auto"/>
        <w:rPr>
          <w:rFonts w:ascii="Arial Narrow" w:eastAsia="Arial Narrow" w:hAnsi="Arial Narrow" w:cs="Arial Narrow"/>
          <w:sz w:val="22"/>
          <w:szCs w:val="22"/>
        </w:rPr>
      </w:pPr>
    </w:p>
    <w:p w14:paraId="4C313DCF" w14:textId="5C2CAD38" w:rsidR="00DD7ED6" w:rsidRPr="00DD7ED6" w:rsidRDefault="0057156D" w:rsidP="006734FC">
      <w:pPr>
        <w:pStyle w:val="Ttulo1"/>
        <w:spacing w:line="276" w:lineRule="auto"/>
        <w:rPr>
          <w:rFonts w:eastAsia="Arial Narrow"/>
        </w:rPr>
      </w:pPr>
      <w:r w:rsidRPr="00482DFE">
        <w:rPr>
          <w:rFonts w:ascii="Arial Narrow" w:eastAsia="Arial Narrow" w:hAnsi="Arial Narrow" w:cs="Arial Narrow"/>
          <w:szCs w:val="22"/>
        </w:rPr>
        <w:t>CONSIDERANDO</w:t>
      </w:r>
      <w:r w:rsidR="00682056" w:rsidRPr="00482DFE">
        <w:rPr>
          <w:rFonts w:ascii="Arial Narrow" w:eastAsia="Arial Narrow" w:hAnsi="Arial Narrow" w:cs="Arial Narrow"/>
          <w:szCs w:val="22"/>
        </w:rPr>
        <w:t xml:space="preserve"> QUE:</w:t>
      </w:r>
    </w:p>
    <w:p w14:paraId="15B71ADD" w14:textId="77777777" w:rsidR="0057156D" w:rsidRPr="00482DFE" w:rsidRDefault="0057156D" w:rsidP="002D0C4E">
      <w:pPr>
        <w:spacing w:after="0" w:line="276" w:lineRule="auto"/>
        <w:rPr>
          <w:rFonts w:ascii="Arial Narrow" w:eastAsia="Arial Narrow" w:hAnsi="Arial Narrow" w:cs="Arial Narrow"/>
          <w:sz w:val="22"/>
          <w:szCs w:val="22"/>
        </w:rPr>
      </w:pPr>
    </w:p>
    <w:p w14:paraId="0624996B" w14:textId="60B22B9E" w:rsidR="001E20CC" w:rsidRPr="00482DFE" w:rsidRDefault="00682056" w:rsidP="002D0C4E">
      <w:pPr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La Ley 1369 de 2009 “</w:t>
      </w:r>
      <w:r w:rsidRPr="00482DFE">
        <w:rPr>
          <w:rFonts w:ascii="Arial Narrow" w:eastAsia="Arial Narrow" w:hAnsi="Arial Narrow" w:cs="Arial Narrow"/>
          <w:i/>
          <w:sz w:val="22"/>
          <w:szCs w:val="22"/>
          <w:lang w:val="es-CO"/>
        </w:rPr>
        <w:t>Por medio de la cual se establece el régimen de los servicios postales y se dictan otras disposiciones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” otorga a estos servicios la connotación de servicio público</w:t>
      </w:r>
      <w:r w:rsidR="00F24A85" w:rsidRPr="00482DFE">
        <w:rPr>
          <w:rFonts w:ascii="Arial Narrow" w:eastAsia="Arial Narrow" w:hAnsi="Arial Narrow" w:cs="Arial Narrow"/>
          <w:sz w:val="22"/>
          <w:szCs w:val="22"/>
          <w:lang w:val="es-CO"/>
        </w:rPr>
        <w:t>,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en los términos del artículo 365 de la Constitución Política</w:t>
      </w:r>
      <w:r w:rsidR="00F24A85" w:rsidRPr="00482DFE">
        <w:rPr>
          <w:rFonts w:ascii="Arial Narrow" w:eastAsia="Arial Narrow" w:hAnsi="Arial Narrow" w:cs="Arial Narrow"/>
          <w:sz w:val="22"/>
          <w:szCs w:val="22"/>
          <w:lang w:val="es-CO"/>
        </w:rPr>
        <w:t>,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e indica que su prestación estará sometida a la regulación, vigilancia y control del Estado, con sujeción a los principios de calidad, eficiencia y universalidad. </w:t>
      </w:r>
    </w:p>
    <w:p w14:paraId="47CAB6B9" w14:textId="195BCF07" w:rsidR="00682056" w:rsidRPr="00482DFE" w:rsidRDefault="00682056" w:rsidP="002D0C4E">
      <w:pPr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607531C6" w14:textId="38FE1802" w:rsidR="007C6903" w:rsidRPr="00482DFE" w:rsidRDefault="00E64F39" w:rsidP="002D0C4E">
      <w:pPr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La misma ley, en el parágrafo segundo del artículo 4 confiere </w:t>
      </w:r>
      <w:r w:rsidR="001C6AA5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al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Ministerio de Tecnologías de la Información y las Comunicaciones </w:t>
      </w:r>
      <w:r w:rsidR="001C6AA5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la facultad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para </w:t>
      </w:r>
      <w:r w:rsidR="007C6903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reglamentar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los requisitos de mitigación de riesgos para los presta</w:t>
      </w:r>
      <w:r w:rsidR="007C6903" w:rsidRPr="00482DFE">
        <w:rPr>
          <w:rFonts w:ascii="Arial Narrow" w:eastAsia="Arial Narrow" w:hAnsi="Arial Narrow" w:cs="Arial Narrow"/>
          <w:sz w:val="22"/>
          <w:szCs w:val="22"/>
          <w:lang w:val="es-CO"/>
        </w:rPr>
        <w:t>dores d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el servicio postal de pago, entre los cuales se encuentra el </w:t>
      </w:r>
      <w:r w:rsidR="005745B6">
        <w:rPr>
          <w:rFonts w:ascii="Arial Narrow" w:eastAsia="Arial Narrow" w:hAnsi="Arial Narrow" w:cs="Arial Narrow"/>
          <w:sz w:val="22"/>
          <w:szCs w:val="22"/>
          <w:lang w:val="es-CO"/>
        </w:rPr>
        <w:t>S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istema de </w:t>
      </w:r>
      <w:r w:rsidR="005745B6">
        <w:rPr>
          <w:rFonts w:ascii="Arial Narrow" w:eastAsia="Arial Narrow" w:hAnsi="Arial Narrow" w:cs="Arial Narrow"/>
          <w:sz w:val="22"/>
          <w:szCs w:val="22"/>
          <w:lang w:val="es-CO"/>
        </w:rPr>
        <w:t>A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dministración y </w:t>
      </w:r>
      <w:r w:rsidR="005745B6">
        <w:rPr>
          <w:rFonts w:ascii="Arial Narrow" w:eastAsia="Arial Narrow" w:hAnsi="Arial Narrow" w:cs="Arial Narrow"/>
          <w:sz w:val="22"/>
          <w:szCs w:val="22"/>
          <w:lang w:val="es-CO"/>
        </w:rPr>
        <w:t>M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itigación de </w:t>
      </w:r>
      <w:r w:rsidR="005745B6">
        <w:rPr>
          <w:rFonts w:ascii="Arial Narrow" w:eastAsia="Arial Narrow" w:hAnsi="Arial Narrow" w:cs="Arial Narrow"/>
          <w:sz w:val="22"/>
          <w:szCs w:val="22"/>
          <w:lang w:val="es-CO"/>
        </w:rPr>
        <w:t>R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iesgo de Lavado de Activos y Financiación del Terrorismo</w:t>
      </w:r>
      <w:r w:rsidR="001C6AA5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LA/FT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.</w:t>
      </w:r>
    </w:p>
    <w:p w14:paraId="4F390A20" w14:textId="77777777" w:rsidR="00682056" w:rsidRPr="00482DFE" w:rsidRDefault="00682056" w:rsidP="002D0C4E">
      <w:pPr>
        <w:pStyle w:val="Encabezado"/>
        <w:widowControl/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301B33F0" w14:textId="351544A2" w:rsidR="007C6903" w:rsidRPr="00482DFE" w:rsidRDefault="007C6903" w:rsidP="002D0C4E">
      <w:pPr>
        <w:spacing w:after="0"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482DFE">
        <w:rPr>
          <w:rFonts w:ascii="Arial Narrow" w:eastAsia="Arial Narrow" w:hAnsi="Arial Narrow" w:cs="Arial Narrow"/>
          <w:sz w:val="22"/>
          <w:szCs w:val="22"/>
        </w:rPr>
        <w:t>El numeral 4.2 del artículo 3 de la</w:t>
      </w:r>
      <w:r w:rsidR="001C6AA5" w:rsidRPr="00482DFE">
        <w:rPr>
          <w:rFonts w:ascii="Arial Narrow" w:eastAsia="Arial Narrow" w:hAnsi="Arial Narrow" w:cs="Arial Narrow"/>
          <w:sz w:val="22"/>
          <w:szCs w:val="22"/>
        </w:rPr>
        <w:t xml:space="preserve"> L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ey 1369 de 2009, establece que el operador de servicios postales de pago como persona jurídica habilitada por el Ministerio de Tecnologías de la Información y las Comunicaciones está sometido a la reglamentación que en materia de lavado de activos disponga la ley y sus decretos reglamentarios. </w:t>
      </w:r>
      <w:r w:rsidR="00574079" w:rsidRPr="00482DFE">
        <w:rPr>
          <w:rFonts w:ascii="Arial Narrow" w:eastAsia="Arial Narrow" w:hAnsi="Arial Narrow" w:cs="Arial Narrow"/>
          <w:sz w:val="22"/>
          <w:szCs w:val="22"/>
        </w:rPr>
        <w:t xml:space="preserve">Igualmente, </w:t>
      </w:r>
      <w:r w:rsidRPr="00482DFE">
        <w:rPr>
          <w:rFonts w:ascii="Arial Narrow" w:eastAsia="Arial Narrow" w:hAnsi="Arial Narrow" w:cs="Arial Narrow"/>
          <w:sz w:val="22"/>
          <w:szCs w:val="22"/>
        </w:rPr>
        <w:t>la Ley 1186 de 2009</w:t>
      </w:r>
      <w:r w:rsidR="67385EA3" w:rsidRPr="00482DFE">
        <w:rPr>
          <w:rFonts w:ascii="Arial Narrow" w:eastAsia="Arial Narrow" w:hAnsi="Arial Narrow" w:cs="Arial Narrow"/>
          <w:sz w:val="22"/>
          <w:szCs w:val="22"/>
        </w:rPr>
        <w:t>,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 declarada exequible mediante la sentencia C-</w:t>
      </w:r>
      <w:r w:rsidR="00574079" w:rsidRPr="00482DFE">
        <w:rPr>
          <w:rFonts w:ascii="Arial Narrow" w:eastAsia="Arial Narrow" w:hAnsi="Arial Narrow" w:cs="Arial Narrow"/>
          <w:sz w:val="22"/>
          <w:szCs w:val="22"/>
        </w:rPr>
        <w:t>685-09</w:t>
      </w:r>
      <w:r w:rsidR="00574079" w:rsidRPr="00482DFE">
        <w:rPr>
          <w:rStyle w:val="Refdenotaalpie"/>
          <w:rFonts w:ascii="Arial Narrow" w:eastAsia="Arial Narrow" w:hAnsi="Arial Narrow" w:cs="Arial Narrow"/>
          <w:sz w:val="22"/>
          <w:szCs w:val="22"/>
        </w:rPr>
        <w:footnoteReference w:id="2"/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7C9DF244" w:rsidRPr="4F2948CC">
        <w:rPr>
          <w:rFonts w:ascii="Arial Narrow" w:eastAsia="Arial Narrow" w:hAnsi="Arial Narrow" w:cs="Arial Narrow"/>
          <w:sz w:val="22"/>
          <w:szCs w:val="22"/>
        </w:rPr>
        <w:t xml:space="preserve">por medio de </w:t>
      </w:r>
      <w:r w:rsidR="00574079" w:rsidRPr="00482DFE">
        <w:rPr>
          <w:rFonts w:ascii="Arial Narrow" w:eastAsia="Arial Narrow" w:hAnsi="Arial Narrow" w:cs="Arial Narrow"/>
          <w:sz w:val="22"/>
          <w:szCs w:val="22"/>
        </w:rPr>
        <w:t xml:space="preserve">la cual </w:t>
      </w:r>
      <w:r w:rsidRPr="00482DFE">
        <w:rPr>
          <w:rFonts w:ascii="Arial Narrow" w:eastAsia="Arial Narrow" w:hAnsi="Arial Narrow" w:cs="Arial Narrow"/>
          <w:sz w:val="22"/>
          <w:szCs w:val="22"/>
        </w:rPr>
        <w:t>Colombia aprobó el Memorando de Entendimiento</w:t>
      </w:r>
      <w:r w:rsidR="00574079" w:rsidRPr="00482DFE">
        <w:rPr>
          <w:rFonts w:ascii="Arial Narrow" w:eastAsia="Arial Narrow" w:hAnsi="Arial Narrow" w:cs="Arial Narrow"/>
          <w:sz w:val="22"/>
          <w:szCs w:val="22"/>
        </w:rPr>
        <w:t xml:space="preserve"> entre los </w:t>
      </w:r>
      <w:r w:rsidR="00747FBE" w:rsidRPr="00482DFE">
        <w:rPr>
          <w:rFonts w:ascii="Arial Narrow" w:eastAsia="Arial Narrow" w:hAnsi="Arial Narrow" w:cs="Arial Narrow"/>
          <w:sz w:val="22"/>
          <w:szCs w:val="22"/>
        </w:rPr>
        <w:t>g</w:t>
      </w:r>
      <w:r w:rsidR="00574079" w:rsidRPr="00482DFE">
        <w:rPr>
          <w:rFonts w:ascii="Arial Narrow" w:eastAsia="Arial Narrow" w:hAnsi="Arial Narrow" w:cs="Arial Narrow"/>
          <w:sz w:val="22"/>
          <w:szCs w:val="22"/>
        </w:rPr>
        <w:t>obiernos de los Estados del Grupo de Acción Financiera de Sudamérica contra el Lavado de Activos (</w:t>
      </w:r>
      <w:proofErr w:type="spellStart"/>
      <w:r w:rsidR="00574079" w:rsidRPr="00482DFE">
        <w:rPr>
          <w:rFonts w:ascii="Arial Narrow" w:eastAsia="Arial Narrow" w:hAnsi="Arial Narrow" w:cs="Arial Narrow"/>
          <w:sz w:val="22"/>
          <w:szCs w:val="22"/>
        </w:rPr>
        <w:t>Gafisud</w:t>
      </w:r>
      <w:proofErr w:type="spellEnd"/>
      <w:r w:rsidR="00574079" w:rsidRPr="00482DFE">
        <w:rPr>
          <w:rFonts w:ascii="Arial Narrow" w:eastAsia="Arial Narrow" w:hAnsi="Arial Narrow" w:cs="Arial Narrow"/>
          <w:sz w:val="22"/>
          <w:szCs w:val="22"/>
        </w:rPr>
        <w:t xml:space="preserve">), </w:t>
      </w:r>
      <w:r w:rsidRPr="00482DFE">
        <w:rPr>
          <w:rFonts w:ascii="Arial Narrow" w:eastAsia="Arial Narrow" w:hAnsi="Arial Narrow" w:cs="Arial Narrow"/>
          <w:sz w:val="22"/>
          <w:szCs w:val="22"/>
        </w:rPr>
        <w:t>firmado en Cartagena de Indias el 8 de diciembre del 2000, el cual creó y puso en funcionamiento el Grupo de Acción Financiera de Sudamérica – GAFISUD, hoy Grupo de Acción Financiera de Latinoamérica -GAFILAT</w:t>
      </w:r>
      <w:r w:rsidR="00574079" w:rsidRPr="00482DFE">
        <w:rPr>
          <w:rFonts w:ascii="Arial Narrow" w:eastAsia="Arial Narrow" w:hAnsi="Arial Narrow" w:cs="Arial Narrow"/>
          <w:sz w:val="22"/>
          <w:szCs w:val="22"/>
        </w:rPr>
        <w:t>,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 determinó como objetivo reconocer y aplicar las </w:t>
      </w:r>
      <w:r w:rsidR="00574079" w:rsidRPr="00482DFE">
        <w:rPr>
          <w:rFonts w:ascii="Arial Narrow" w:eastAsia="Arial Narrow" w:hAnsi="Arial Narrow" w:cs="Arial Narrow"/>
          <w:sz w:val="22"/>
          <w:szCs w:val="22"/>
        </w:rPr>
        <w:t>r</w:t>
      </w:r>
      <w:r w:rsidRPr="00482DFE">
        <w:rPr>
          <w:rFonts w:ascii="Arial Narrow" w:eastAsia="Arial Narrow" w:hAnsi="Arial Narrow" w:cs="Arial Narrow"/>
          <w:sz w:val="22"/>
          <w:szCs w:val="22"/>
        </w:rPr>
        <w:t>ecomendaciones del GAFI</w:t>
      </w:r>
      <w:r w:rsidR="00574079" w:rsidRPr="00482DFE">
        <w:rPr>
          <w:rFonts w:ascii="Arial Narrow" w:eastAsia="Arial Narrow" w:hAnsi="Arial Narrow" w:cs="Arial Narrow"/>
          <w:sz w:val="22"/>
          <w:szCs w:val="22"/>
        </w:rPr>
        <w:t xml:space="preserve">, así como </w:t>
      </w:r>
      <w:r w:rsidRPr="00482DFE">
        <w:rPr>
          <w:rFonts w:ascii="Arial Narrow" w:eastAsia="Arial Narrow" w:hAnsi="Arial Narrow" w:cs="Arial Narrow"/>
          <w:sz w:val="22"/>
          <w:szCs w:val="22"/>
        </w:rPr>
        <w:t>las recomendaciones y medidas que en el futuro adopte.</w:t>
      </w:r>
    </w:p>
    <w:p w14:paraId="6D2726EC" w14:textId="1AC8D8C1" w:rsidR="00574079" w:rsidRPr="00482DFE" w:rsidRDefault="00574079" w:rsidP="002D0C4E">
      <w:pPr>
        <w:spacing w:after="0" w:line="276" w:lineRule="auto"/>
        <w:rPr>
          <w:rFonts w:ascii="Arial Narrow" w:eastAsia="Arial Narrow" w:hAnsi="Arial Narrow" w:cs="Arial Narrow"/>
          <w:sz w:val="22"/>
          <w:szCs w:val="22"/>
        </w:rPr>
      </w:pPr>
    </w:p>
    <w:p w14:paraId="09669579" w14:textId="37D3AC90" w:rsidR="00A51A37" w:rsidRDefault="007C6903" w:rsidP="002D0C4E">
      <w:pPr>
        <w:spacing w:after="0" w:line="276" w:lineRule="auto"/>
        <w:ind w:right="51"/>
        <w:rPr>
          <w:rFonts w:ascii="Arial Narrow" w:eastAsia="Arial Narrow" w:hAnsi="Arial Narrow" w:cs="Arial Narrow"/>
          <w:sz w:val="22"/>
          <w:szCs w:val="22"/>
          <w:shd w:val="clear" w:color="auto" w:fill="FFFFFF"/>
        </w:rPr>
      </w:pPr>
      <w:r w:rsidRPr="00482DFE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 xml:space="preserve">En virtud de lo anterior, Colombia </w:t>
      </w:r>
      <w:r w:rsidR="005E180E" w:rsidRPr="00482DFE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>en el marco de la cuarta ro</w:t>
      </w:r>
      <w:r w:rsidR="005C784E" w:rsidRPr="00482DFE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>n</w:t>
      </w:r>
      <w:r w:rsidR="005E180E" w:rsidRPr="00482DFE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 xml:space="preserve">da de evaluaciones mutuas del GAFILAT, al sistema Anti-Lavado de Activos Contra el Financiamiento del Terrorismo y la Financiación de la Proliferación de Armas de Destrucción Masiva, </w:t>
      </w:r>
      <w:r w:rsidRPr="00482DFE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>fue</w:t>
      </w:r>
      <w:r w:rsidR="005E180E" w:rsidRPr="00482DFE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 xml:space="preserve"> </w:t>
      </w:r>
      <w:r w:rsidRPr="00482DFE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>evaluada por el Fondo Monetario Internacional (FMI).</w:t>
      </w:r>
    </w:p>
    <w:p w14:paraId="4E8FE5A8" w14:textId="77777777" w:rsidR="00A84FEC" w:rsidRDefault="00A84FEC" w:rsidP="002D0C4E">
      <w:pPr>
        <w:spacing w:after="0" w:line="276" w:lineRule="auto"/>
        <w:ind w:right="51"/>
        <w:rPr>
          <w:rFonts w:ascii="Arial Narrow" w:eastAsia="Arial Narrow" w:hAnsi="Arial Narrow" w:cs="Arial Narrow"/>
          <w:sz w:val="22"/>
          <w:szCs w:val="22"/>
          <w:shd w:val="clear" w:color="auto" w:fill="FFFFFF"/>
        </w:rPr>
      </w:pPr>
    </w:p>
    <w:p w14:paraId="20144A43" w14:textId="0BF6C136" w:rsidR="007C6903" w:rsidRPr="00482DFE" w:rsidRDefault="000951BA" w:rsidP="002D0C4E">
      <w:pPr>
        <w:spacing w:after="0" w:line="276" w:lineRule="auto"/>
        <w:ind w:right="51"/>
        <w:rPr>
          <w:rFonts w:ascii="Arial Narrow" w:eastAsia="Arial Narrow" w:hAnsi="Arial Narrow" w:cs="Arial Narrow"/>
          <w:sz w:val="22"/>
          <w:szCs w:val="22"/>
        </w:rPr>
      </w:pPr>
      <w:r w:rsidRPr="00482DFE">
        <w:rPr>
          <w:rFonts w:ascii="Arial Narrow" w:eastAsia="Arial Narrow" w:hAnsi="Arial Narrow" w:cs="Arial Narrow"/>
          <w:sz w:val="22"/>
          <w:szCs w:val="22"/>
        </w:rPr>
        <w:t xml:space="preserve">Luego de realizada la mencionada evaluación, a pesar de que Colombia no ingresó a las listas de países y jurisdicciones no cooperantes del GAFI se reconoció que se cuenta con un sistema confiable para la comunidad económica y financiera internacional, como consecuencia de ello, el país quedó en proceso de seguimiento intensificado ante el GAFILAT, de acuerdo con el informe de evaluación publicado en noviembre de 2018 y disponible en la página web de dicho organismo.  </w:t>
      </w:r>
    </w:p>
    <w:p w14:paraId="208A0093" w14:textId="77777777" w:rsidR="006734FC" w:rsidRDefault="006734FC" w:rsidP="00A1167C">
      <w:pPr>
        <w:pStyle w:val="Encabezado"/>
        <w:widowControl/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70AE99B5" w14:textId="06EBD654" w:rsidR="00A1167C" w:rsidRPr="00482DFE" w:rsidRDefault="00A1167C" w:rsidP="00A1167C">
      <w:pPr>
        <w:pStyle w:val="Encabezado"/>
        <w:widowControl/>
        <w:spacing w:after="0" w:line="276" w:lineRule="auto"/>
        <w:rPr>
          <w:rFonts w:ascii="Arial Narrow" w:eastAsia="Arial Narrow" w:hAnsi="Arial Narrow" w:cs="Arial Narrow"/>
          <w:i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lastRenderedPageBreak/>
        <w:t xml:space="preserve">El Ministerio de Tecnologías de la Información y las Comunicaciones, en virtud de sus competencias legales, expidió la Resolución 1292 de 2021, </w:t>
      </w:r>
      <w:r w:rsidRPr="00482DFE">
        <w:rPr>
          <w:rFonts w:ascii="Arial Narrow" w:eastAsia="Arial Narrow" w:hAnsi="Arial Narrow" w:cs="Arial Narrow"/>
          <w:sz w:val="22"/>
          <w:szCs w:val="22"/>
        </w:rPr>
        <w:t>la cual contempla las reglas relativas al Sistema de Administración del Riesgo de Lavado de Activos y Financiación del Terrorismo y la Financiación de la Proliferación de Armas de Destrucción Masiva (LA/FT) para los Operadores Postales de Pago</w:t>
      </w:r>
      <w:r>
        <w:rPr>
          <w:rFonts w:ascii="Arial Narrow" w:eastAsia="Arial Narrow" w:hAnsi="Arial Narrow" w:cs="Arial Narrow"/>
          <w:sz w:val="22"/>
          <w:szCs w:val="22"/>
        </w:rPr>
        <w:t>, la que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 fue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modificada por la Resolución 003 del 2 de enero de 2022.</w:t>
      </w:r>
      <w:r w:rsidRPr="00482DFE">
        <w:rPr>
          <w:rFonts w:ascii="Arial Narrow" w:eastAsia="Arial Narrow" w:hAnsi="Arial Narrow" w:cs="Arial Narrow"/>
          <w:i/>
          <w:sz w:val="22"/>
          <w:szCs w:val="22"/>
          <w:lang w:val="es-CO"/>
        </w:rPr>
        <w:t xml:space="preserve"> </w:t>
      </w:r>
    </w:p>
    <w:p w14:paraId="18F7ACD8" w14:textId="77777777" w:rsidR="00A1167C" w:rsidRPr="00482DFE" w:rsidRDefault="00A1167C" w:rsidP="002D0C4E">
      <w:pPr>
        <w:spacing w:after="0" w:line="276" w:lineRule="auto"/>
        <w:ind w:right="49"/>
        <w:rPr>
          <w:rFonts w:ascii="Arial Narrow" w:eastAsia="Arial Narrow" w:hAnsi="Arial Narrow" w:cs="Arial Narrow"/>
          <w:sz w:val="22"/>
          <w:szCs w:val="22"/>
        </w:rPr>
      </w:pPr>
    </w:p>
    <w:p w14:paraId="06E7B5B4" w14:textId="6E9F7585" w:rsidR="000951BA" w:rsidRPr="00482DFE" w:rsidRDefault="00DC17EF" w:rsidP="002D0C4E">
      <w:pPr>
        <w:spacing w:after="0" w:line="276" w:lineRule="auto"/>
        <w:ind w:right="4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</w:t>
      </w:r>
      <w:r w:rsidR="000951BA" w:rsidRPr="00482DFE">
        <w:rPr>
          <w:rFonts w:ascii="Arial Narrow" w:eastAsia="Arial Narrow" w:hAnsi="Arial Narrow" w:cs="Arial Narrow"/>
          <w:sz w:val="22"/>
          <w:szCs w:val="22"/>
        </w:rPr>
        <w:t>l 27 de abril de 2021</w:t>
      </w:r>
      <w:r w:rsidR="00747FBE" w:rsidRPr="00482DFE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0951BA" w:rsidRPr="00482DFE">
        <w:rPr>
          <w:rFonts w:ascii="Arial Narrow" w:eastAsia="Arial Narrow" w:hAnsi="Arial Narrow" w:cs="Arial Narrow"/>
          <w:sz w:val="22"/>
          <w:szCs w:val="22"/>
        </w:rPr>
        <w:t xml:space="preserve">Colombia solicitó la recalificación por parte del GAFILAT bajo el concepto avance en las modificaciones del marco normativo frente a los Sistemas de Administración del riesgo de lavado de activos, financiación del terrorismo y financiación </w:t>
      </w:r>
      <w:r w:rsidR="000951BA" w:rsidRPr="4F2948CC">
        <w:rPr>
          <w:rFonts w:ascii="Arial Narrow" w:eastAsia="Arial Narrow" w:hAnsi="Arial Narrow" w:cs="Arial Narrow"/>
          <w:sz w:val="22"/>
          <w:szCs w:val="22"/>
        </w:rPr>
        <w:t>de la</w:t>
      </w:r>
      <w:r w:rsidR="000951BA" w:rsidRPr="00482DFE">
        <w:rPr>
          <w:rFonts w:ascii="Arial Narrow" w:eastAsia="Arial Narrow" w:hAnsi="Arial Narrow" w:cs="Arial Narrow"/>
          <w:sz w:val="22"/>
          <w:szCs w:val="22"/>
        </w:rPr>
        <w:t xml:space="preserve"> proliferación de armas de destrucción masiva que se venía generando en los diferentes entes de supervisión del Gobierno, donde </w:t>
      </w:r>
      <w:r w:rsidR="000951BA" w:rsidRPr="4F2948CC">
        <w:rPr>
          <w:rFonts w:ascii="Arial Narrow" w:eastAsia="Arial Narrow" w:hAnsi="Arial Narrow" w:cs="Arial Narrow"/>
          <w:sz w:val="22"/>
          <w:szCs w:val="22"/>
        </w:rPr>
        <w:t>se</w:t>
      </w:r>
      <w:r w:rsidR="000951BA" w:rsidRPr="00482DFE">
        <w:rPr>
          <w:rFonts w:ascii="Arial Narrow" w:eastAsia="Arial Narrow" w:hAnsi="Arial Narrow" w:cs="Arial Narrow"/>
          <w:sz w:val="22"/>
          <w:szCs w:val="22"/>
        </w:rPr>
        <w:t xml:space="preserve"> evidenció lo correspondiente al SARLAFT 4.0 de la Superintendencia Financiera de Colombia, el SAGRILAFT 3.0 de la Superintendencia de Sociedades, la creación del Registro Único de Beneficiario Final de la D</w:t>
      </w:r>
      <w:r w:rsidR="00747FBE" w:rsidRPr="00482DFE">
        <w:rPr>
          <w:rFonts w:ascii="Arial Narrow" w:eastAsia="Arial Narrow" w:hAnsi="Arial Narrow" w:cs="Arial Narrow"/>
          <w:sz w:val="22"/>
          <w:szCs w:val="22"/>
        </w:rPr>
        <w:t>irección de Impuestos y Aduanas</w:t>
      </w:r>
      <w:r w:rsidR="00E24806" w:rsidRPr="00482DFE">
        <w:rPr>
          <w:rFonts w:ascii="Arial Narrow" w:eastAsia="Arial Narrow" w:hAnsi="Arial Narrow" w:cs="Arial Narrow"/>
          <w:sz w:val="22"/>
          <w:szCs w:val="22"/>
        </w:rPr>
        <w:t xml:space="preserve"> Nacionales</w:t>
      </w:r>
      <w:r w:rsidR="000951BA" w:rsidRPr="00482DFE">
        <w:rPr>
          <w:rFonts w:ascii="Arial Narrow" w:eastAsia="Arial Narrow" w:hAnsi="Arial Narrow" w:cs="Arial Narrow"/>
          <w:sz w:val="22"/>
          <w:szCs w:val="22"/>
        </w:rPr>
        <w:t>, la Circular 20 de la Superintendencia de la Economía Solidaria y la Resolución 1292 de 2021</w:t>
      </w:r>
      <w:r w:rsidR="41CDCBDD" w:rsidRPr="00482DFE">
        <w:rPr>
          <w:rFonts w:ascii="Arial Narrow" w:eastAsia="Arial Narrow" w:hAnsi="Arial Narrow" w:cs="Arial Narrow"/>
          <w:sz w:val="22"/>
          <w:szCs w:val="22"/>
        </w:rPr>
        <w:t>,</w:t>
      </w:r>
      <w:r w:rsidR="000951BA" w:rsidRPr="00482DFE">
        <w:rPr>
          <w:rFonts w:ascii="Arial Narrow" w:eastAsia="Arial Narrow" w:hAnsi="Arial Narrow" w:cs="Arial Narrow"/>
          <w:sz w:val="22"/>
          <w:szCs w:val="22"/>
        </w:rPr>
        <w:t xml:space="preserve"> emitida por parte del Ministerio de  Tecnologías de la Información y las Comunicaciones. Fue así como entre el 29 de noviembre y el 3 de diciembre del 2021 se llevó a cabo la reunión de revisión entre los representantes del Grupo de Acción Financiera Internacional de Latinoamérica -GAFILAT y la delegación de Colombia. </w:t>
      </w:r>
    </w:p>
    <w:p w14:paraId="637711C7" w14:textId="77777777" w:rsidR="000951BA" w:rsidRPr="00482DFE" w:rsidRDefault="000951BA" w:rsidP="002D0C4E">
      <w:pPr>
        <w:spacing w:after="0" w:line="276" w:lineRule="auto"/>
        <w:ind w:right="49"/>
        <w:rPr>
          <w:rFonts w:ascii="Arial Narrow" w:eastAsia="Arial Narrow" w:hAnsi="Arial Narrow" w:cs="Arial Narrow"/>
          <w:sz w:val="22"/>
          <w:szCs w:val="22"/>
        </w:rPr>
      </w:pPr>
    </w:p>
    <w:p w14:paraId="1B0F3CA8" w14:textId="0775C397" w:rsidR="00C17075" w:rsidRPr="00482DFE" w:rsidRDefault="000951BA" w:rsidP="002D0C4E">
      <w:pPr>
        <w:spacing w:after="0" w:line="276" w:lineRule="auto"/>
        <w:ind w:right="49"/>
        <w:rPr>
          <w:rFonts w:ascii="Arial Narrow" w:eastAsia="Arial Narrow" w:hAnsi="Arial Narrow" w:cs="Arial Narrow"/>
          <w:sz w:val="22"/>
          <w:szCs w:val="22"/>
        </w:rPr>
      </w:pPr>
      <w:r w:rsidRPr="00482DFE">
        <w:rPr>
          <w:rFonts w:ascii="Arial Narrow" w:eastAsia="Arial Narrow" w:hAnsi="Arial Narrow" w:cs="Arial Narrow"/>
          <w:sz w:val="22"/>
          <w:szCs w:val="22"/>
        </w:rPr>
        <w:t xml:space="preserve">Dicha evaluación permitió visualizar la recalificación de cinco recomendaciones, </w:t>
      </w:r>
      <w:r w:rsidR="00E24806" w:rsidRPr="00482DFE">
        <w:rPr>
          <w:rFonts w:ascii="Arial Narrow" w:eastAsia="Arial Narrow" w:hAnsi="Arial Narrow" w:cs="Arial Narrow"/>
          <w:sz w:val="22"/>
          <w:szCs w:val="22"/>
        </w:rPr>
        <w:t>sin embargo,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 quedaron actividades por realizar, frente a aspectos de mejora </w:t>
      </w:r>
      <w:r w:rsidR="00E24806" w:rsidRPr="00482DFE">
        <w:rPr>
          <w:rFonts w:ascii="Arial Narrow" w:eastAsia="Arial Narrow" w:hAnsi="Arial Narrow" w:cs="Arial Narrow"/>
          <w:sz w:val="22"/>
          <w:szCs w:val="22"/>
        </w:rPr>
        <w:t>en relación con el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 cumplimiento de la recomendación 12, correspondiente </w:t>
      </w:r>
      <w:r w:rsidR="00C17075" w:rsidRPr="00482DFE">
        <w:rPr>
          <w:rFonts w:ascii="Arial Narrow" w:eastAsia="Arial Narrow" w:hAnsi="Arial Narrow" w:cs="Arial Narrow"/>
          <w:sz w:val="22"/>
          <w:szCs w:val="22"/>
        </w:rPr>
        <w:t xml:space="preserve">a las Personas Expuestas Políticamente -PEP, </w:t>
      </w:r>
      <w:r w:rsidR="00E24806" w:rsidRPr="00482DFE">
        <w:rPr>
          <w:rFonts w:ascii="Arial Narrow" w:eastAsia="Arial Narrow" w:hAnsi="Arial Narrow" w:cs="Arial Narrow"/>
          <w:sz w:val="22"/>
          <w:szCs w:val="22"/>
        </w:rPr>
        <w:t xml:space="preserve">donde </w:t>
      </w:r>
      <w:r w:rsidR="00C17075" w:rsidRPr="00482DFE">
        <w:rPr>
          <w:rFonts w:ascii="Arial Narrow" w:eastAsia="Arial Narrow" w:hAnsi="Arial Narrow" w:cs="Arial Narrow"/>
          <w:sz w:val="22"/>
          <w:szCs w:val="22"/>
        </w:rPr>
        <w:t xml:space="preserve">se evidenciaron oportunidades de mejora.  </w:t>
      </w:r>
    </w:p>
    <w:p w14:paraId="4BE6019D" w14:textId="77777777" w:rsidR="00C17075" w:rsidRPr="00482DFE" w:rsidRDefault="00C17075" w:rsidP="002D0C4E">
      <w:pPr>
        <w:spacing w:after="0" w:line="276" w:lineRule="auto"/>
        <w:ind w:right="49"/>
        <w:rPr>
          <w:rFonts w:ascii="Arial Narrow" w:eastAsia="Arial Narrow" w:hAnsi="Arial Narrow" w:cs="Arial Narrow"/>
          <w:sz w:val="22"/>
          <w:szCs w:val="22"/>
        </w:rPr>
      </w:pPr>
    </w:p>
    <w:p w14:paraId="3D04A737" w14:textId="766C5EA8" w:rsidR="008C3864" w:rsidRPr="00482DFE" w:rsidRDefault="00CB2EB2" w:rsidP="00E24806">
      <w:pPr>
        <w:spacing w:after="0" w:line="276" w:lineRule="auto"/>
        <w:ind w:right="49"/>
        <w:rPr>
          <w:rFonts w:ascii="Arial Narrow" w:eastAsia="Arial Narrow" w:hAnsi="Arial Narrow" w:cs="Arial Narrow"/>
          <w:sz w:val="22"/>
          <w:szCs w:val="22"/>
        </w:rPr>
      </w:pPr>
      <w:r w:rsidRPr="00482DFE">
        <w:rPr>
          <w:rFonts w:ascii="Arial Narrow" w:eastAsia="Arial Narrow" w:hAnsi="Arial Narrow" w:cs="Arial Narrow"/>
          <w:sz w:val="22"/>
          <w:szCs w:val="22"/>
        </w:rPr>
        <w:t>Por lo anterior</w:t>
      </w:r>
      <w:r w:rsidR="007C6903" w:rsidRPr="00482DFE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B81AB3" w:rsidRPr="00482DFE">
        <w:rPr>
          <w:rFonts w:ascii="Arial Narrow" w:eastAsia="Arial Narrow" w:hAnsi="Arial Narrow" w:cs="Arial Narrow"/>
          <w:sz w:val="22"/>
          <w:szCs w:val="22"/>
        </w:rPr>
        <w:t xml:space="preserve">en lo relacionado con la prestación del servicio postal de pago </w:t>
      </w:r>
      <w:r w:rsidR="007C6903" w:rsidRPr="00482DFE">
        <w:rPr>
          <w:rFonts w:ascii="Arial Narrow" w:eastAsia="Arial Narrow" w:hAnsi="Arial Narrow" w:cs="Arial Narrow"/>
          <w:sz w:val="22"/>
          <w:szCs w:val="22"/>
        </w:rPr>
        <w:t>corresponde al Ministerio de Tecnologías de la Información y las Comunicaciones realizar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 los</w:t>
      </w:r>
      <w:r w:rsidR="007C6903" w:rsidRPr="00482DFE">
        <w:rPr>
          <w:rFonts w:ascii="Arial Narrow" w:eastAsia="Arial Narrow" w:hAnsi="Arial Narrow" w:cs="Arial Narrow"/>
          <w:sz w:val="22"/>
          <w:szCs w:val="22"/>
        </w:rPr>
        <w:t xml:space="preserve"> ajustes a la regulación en materia de lavado de activos y financiamiento del terrorismo, contenida en la Resolución 1292 de 2021,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 modificada por la Resolución 00003 de 2022,</w:t>
      </w:r>
      <w:r w:rsidR="007C6903" w:rsidRPr="00482DFE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con el objetivo de </w:t>
      </w:r>
      <w:r w:rsidR="007C6903" w:rsidRPr="00482DFE">
        <w:rPr>
          <w:rFonts w:ascii="Arial Narrow" w:eastAsia="Arial Narrow" w:hAnsi="Arial Narrow" w:cs="Arial Narrow"/>
          <w:sz w:val="22"/>
          <w:szCs w:val="22"/>
        </w:rPr>
        <w:t>incluir los lineamientos definidos en la recomendación 12 del GAFI</w:t>
      </w:r>
      <w:r w:rsidR="00BE363F" w:rsidRPr="00482DFE">
        <w:rPr>
          <w:rFonts w:ascii="Arial Narrow" w:eastAsia="Arial Narrow" w:hAnsi="Arial Narrow" w:cs="Arial Narrow"/>
          <w:sz w:val="22"/>
          <w:szCs w:val="22"/>
        </w:rPr>
        <w:t>,</w:t>
      </w:r>
      <w:r w:rsidR="007C6903" w:rsidRPr="00482DFE">
        <w:rPr>
          <w:rFonts w:ascii="Arial Narrow" w:eastAsia="Arial Narrow" w:hAnsi="Arial Narrow" w:cs="Arial Narrow"/>
          <w:sz w:val="22"/>
          <w:szCs w:val="22"/>
        </w:rPr>
        <w:t xml:space="preserve"> correspondiente a 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las </w:t>
      </w:r>
      <w:r w:rsidR="007C6903" w:rsidRPr="00482DFE">
        <w:rPr>
          <w:rFonts w:ascii="Arial Narrow" w:eastAsia="Arial Narrow" w:hAnsi="Arial Narrow" w:cs="Arial Narrow"/>
          <w:sz w:val="22"/>
          <w:szCs w:val="22"/>
        </w:rPr>
        <w:t xml:space="preserve">Personas </w:t>
      </w:r>
      <w:r w:rsidRPr="00482DFE">
        <w:rPr>
          <w:rFonts w:ascii="Arial Narrow" w:eastAsia="Arial Narrow" w:hAnsi="Arial Narrow" w:cs="Arial Narrow"/>
          <w:sz w:val="22"/>
          <w:szCs w:val="22"/>
        </w:rPr>
        <w:t>E</w:t>
      </w:r>
      <w:r w:rsidR="007C6903" w:rsidRPr="00482DFE">
        <w:rPr>
          <w:rFonts w:ascii="Arial Narrow" w:eastAsia="Arial Narrow" w:hAnsi="Arial Narrow" w:cs="Arial Narrow"/>
          <w:sz w:val="22"/>
          <w:szCs w:val="22"/>
        </w:rPr>
        <w:t xml:space="preserve">xpuestas </w:t>
      </w:r>
      <w:r w:rsidRPr="00482DFE">
        <w:rPr>
          <w:rFonts w:ascii="Arial Narrow" w:eastAsia="Arial Narrow" w:hAnsi="Arial Narrow" w:cs="Arial Narrow"/>
          <w:sz w:val="22"/>
          <w:szCs w:val="22"/>
        </w:rPr>
        <w:t>P</w:t>
      </w:r>
      <w:r w:rsidR="007C6903" w:rsidRPr="00482DFE">
        <w:rPr>
          <w:rFonts w:ascii="Arial Narrow" w:eastAsia="Arial Narrow" w:hAnsi="Arial Narrow" w:cs="Arial Narrow"/>
          <w:sz w:val="22"/>
          <w:szCs w:val="22"/>
        </w:rPr>
        <w:t>olíticamente</w:t>
      </w:r>
      <w:r w:rsidRPr="00482DFE">
        <w:rPr>
          <w:rFonts w:ascii="Arial Narrow" w:eastAsia="Arial Narrow" w:hAnsi="Arial Narrow" w:cs="Arial Narrow"/>
          <w:sz w:val="22"/>
          <w:szCs w:val="22"/>
        </w:rPr>
        <w:t xml:space="preserve"> -PEP</w:t>
      </w:r>
      <w:r w:rsidR="00E24806" w:rsidRPr="00482DFE">
        <w:rPr>
          <w:rFonts w:ascii="Arial Narrow" w:eastAsia="Arial Narrow" w:hAnsi="Arial Narrow" w:cs="Arial Narrow"/>
          <w:sz w:val="22"/>
          <w:szCs w:val="22"/>
        </w:rPr>
        <w:t>.</w:t>
      </w:r>
    </w:p>
    <w:p w14:paraId="274B9BD9" w14:textId="77777777" w:rsidR="00E24806" w:rsidRPr="00482DFE" w:rsidRDefault="00E24806" w:rsidP="00E24806">
      <w:pPr>
        <w:spacing w:after="0" w:line="276" w:lineRule="auto"/>
        <w:ind w:right="49"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0B4A8B6E" w14:textId="40AAFBB8" w:rsidR="007C6903" w:rsidRPr="00482DFE" w:rsidRDefault="00E24806" w:rsidP="002D0C4E">
      <w:pPr>
        <w:pStyle w:val="Encabezado"/>
        <w:widowControl/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Con base en </w:t>
      </w:r>
      <w:r w:rsidR="00217330">
        <w:rPr>
          <w:rFonts w:ascii="Arial Narrow" w:eastAsia="Arial Narrow" w:hAnsi="Arial Narrow" w:cs="Arial Narrow"/>
          <w:sz w:val="22"/>
          <w:szCs w:val="22"/>
          <w:lang w:val="es-CO"/>
        </w:rPr>
        <w:t xml:space="preserve">la </w:t>
      </w:r>
      <w:r w:rsidR="007348BC">
        <w:rPr>
          <w:rFonts w:ascii="Arial Narrow" w:eastAsia="Arial Narrow" w:hAnsi="Arial Narrow" w:cs="Arial Narrow"/>
          <w:sz w:val="22"/>
          <w:szCs w:val="22"/>
          <w:lang w:val="es-CO"/>
        </w:rPr>
        <w:t>citada</w:t>
      </w:r>
      <w:r w:rsidR="007348BC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recomendación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,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e</w:t>
      </w:r>
      <w:r w:rsidR="00280E66" w:rsidRPr="00482DFE">
        <w:rPr>
          <w:rFonts w:ascii="Arial Narrow" w:eastAsia="Arial Narrow" w:hAnsi="Arial Narrow" w:cs="Arial Narrow"/>
          <w:sz w:val="22"/>
          <w:szCs w:val="22"/>
          <w:lang w:val="es-CO"/>
        </w:rPr>
        <w:t>ste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Ministerio realizará 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el respectivo ajuste a la 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>R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esolución 1292 de 2021, 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modificada por la Resolución 00003 de 2022, 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>incorporando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la definición </w:t>
      </w:r>
      <w:r w:rsidR="00CB2EB2" w:rsidRPr="00482DFE">
        <w:rPr>
          <w:rFonts w:ascii="Arial Narrow" w:eastAsia="Arial Narrow" w:hAnsi="Arial Narrow" w:cs="Arial Narrow"/>
          <w:i/>
          <w:sz w:val="22"/>
          <w:szCs w:val="22"/>
          <w:lang w:val="es-CO"/>
        </w:rPr>
        <w:t>“Alta Gerencia”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en el artículo 3 de definiciones y acrónimos, </w:t>
      </w:r>
      <w:r w:rsidR="00A70967" w:rsidRPr="00482DFE">
        <w:rPr>
          <w:rFonts w:ascii="Arial Narrow" w:eastAsia="Arial Narrow" w:hAnsi="Arial Narrow" w:cs="Arial Narrow"/>
          <w:sz w:val="22"/>
          <w:szCs w:val="22"/>
          <w:lang w:val="es-CO"/>
        </w:rPr>
        <w:t>igualmente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, 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>modificando el numeral 6.2.3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del artículo 6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denominado </w:t>
      </w:r>
      <w:r w:rsidR="00CB2EB2" w:rsidRPr="00482DFE">
        <w:rPr>
          <w:rFonts w:ascii="Arial Narrow" w:eastAsia="Arial Narrow" w:hAnsi="Arial Narrow" w:cs="Arial Narrow"/>
          <w:i/>
          <w:sz w:val="22"/>
          <w:szCs w:val="22"/>
          <w:lang w:val="es-CO"/>
        </w:rPr>
        <w:t>“Medidas intensificadas para las personas expuestas políticamente</w:t>
      </w:r>
      <w:r w:rsidR="008C3864" w:rsidRPr="00482DFE">
        <w:rPr>
          <w:rFonts w:ascii="Arial Narrow" w:eastAsia="Arial Narrow" w:hAnsi="Arial Narrow" w:cs="Arial Narrow"/>
          <w:i/>
          <w:sz w:val="22"/>
          <w:szCs w:val="22"/>
          <w:lang w:val="es-CO"/>
        </w:rPr>
        <w:t xml:space="preserve"> (PEP)</w:t>
      </w:r>
      <w:r w:rsidR="00CB2EB2" w:rsidRPr="00482DFE">
        <w:rPr>
          <w:rFonts w:ascii="Arial Narrow" w:eastAsia="Arial Narrow" w:hAnsi="Arial Narrow" w:cs="Arial Narrow"/>
          <w:i/>
          <w:sz w:val="22"/>
          <w:szCs w:val="22"/>
          <w:lang w:val="es-CO"/>
        </w:rPr>
        <w:t>”</w:t>
      </w:r>
      <w:r w:rsidR="00BE363F" w:rsidRPr="00482DFE">
        <w:rPr>
          <w:rFonts w:ascii="Arial Narrow" w:eastAsia="Arial Narrow" w:hAnsi="Arial Narrow" w:cs="Arial Narrow"/>
          <w:i/>
          <w:sz w:val="22"/>
          <w:szCs w:val="22"/>
          <w:lang w:val="es-CO"/>
        </w:rPr>
        <w:t>,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 </w:t>
      </w:r>
      <w:r w:rsidR="26B988B8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tal 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>forma que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quede incorporada en la normativa 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la debida diligencia de conocimiento </w:t>
      </w:r>
      <w:r w:rsidR="008C3864" w:rsidRPr="4F2948CC">
        <w:rPr>
          <w:rFonts w:ascii="Arial Narrow" w:eastAsia="Arial Narrow" w:hAnsi="Arial Narrow" w:cs="Arial Narrow"/>
          <w:sz w:val="22"/>
          <w:szCs w:val="22"/>
          <w:lang w:val="es-CO"/>
        </w:rPr>
        <w:t>de las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>PEP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, en relación con 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los lineamientos 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contenidos en 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>la recomendación 12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del GAFI</w:t>
      </w:r>
      <w:r w:rsidR="00CB2EB2" w:rsidRPr="00482DFE">
        <w:rPr>
          <w:rFonts w:ascii="Arial Narrow" w:eastAsia="Arial Narrow" w:hAnsi="Arial Narrow" w:cs="Arial Narrow"/>
          <w:sz w:val="22"/>
          <w:szCs w:val="22"/>
          <w:lang w:val="es-CO"/>
        </w:rPr>
        <w:t>.</w:t>
      </w:r>
    </w:p>
    <w:p w14:paraId="07EDBFFC" w14:textId="77777777" w:rsidR="00075DCD" w:rsidRPr="00482DFE" w:rsidRDefault="00075DCD" w:rsidP="002D0C4E">
      <w:pPr>
        <w:pStyle w:val="Encabezado"/>
        <w:widowControl/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4583512F" w14:textId="21B81034" w:rsidR="006E07E7" w:rsidRPr="00482DFE" w:rsidRDefault="00E24806" w:rsidP="002D0C4E">
      <w:pPr>
        <w:pStyle w:val="Encabezado"/>
        <w:widowControl/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Por otro lado, </w:t>
      </w:r>
      <w:r w:rsidR="009E0AB7" w:rsidRPr="00482DFE">
        <w:rPr>
          <w:rFonts w:ascii="Arial Narrow" w:eastAsia="Arial Narrow" w:hAnsi="Arial Narrow" w:cs="Arial Narrow"/>
          <w:sz w:val="22"/>
          <w:szCs w:val="22"/>
          <w:lang w:val="es-CO"/>
        </w:rPr>
        <w:t>e</w:t>
      </w:r>
      <w:r w:rsidR="00682056" w:rsidRPr="00482DFE">
        <w:rPr>
          <w:rFonts w:ascii="Arial Narrow" w:eastAsia="Arial Narrow" w:hAnsi="Arial Narrow" w:cs="Arial Narrow"/>
          <w:sz w:val="22"/>
          <w:szCs w:val="22"/>
          <w:lang w:val="es-CO"/>
        </w:rPr>
        <w:t>l artículo 10 de la Resolución 1292 de 2021</w:t>
      </w:r>
      <w:r w:rsidR="00CC5685" w:rsidRPr="00482DFE">
        <w:rPr>
          <w:rFonts w:ascii="Arial Narrow" w:eastAsia="Arial Narrow" w:hAnsi="Arial Narrow" w:cs="Arial Narrow"/>
          <w:sz w:val="22"/>
          <w:szCs w:val="22"/>
          <w:lang w:val="es-CO"/>
        </w:rPr>
        <w:t>,</w:t>
      </w:r>
      <w:r w:rsidR="00682056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modificado por el artículo 4 de la Resolución 00003 de 2022, </w:t>
      </w:r>
      <w:r w:rsidR="00682056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establece que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la misma </w:t>
      </w:r>
      <w:proofErr w:type="gramStart"/>
      <w:r w:rsidR="00682056" w:rsidRPr="00482DFE">
        <w:rPr>
          <w:rFonts w:ascii="Arial Narrow" w:eastAsia="Arial Narrow" w:hAnsi="Arial Narrow" w:cs="Arial Narrow"/>
          <w:sz w:val="22"/>
          <w:szCs w:val="22"/>
          <w:lang w:val="es-CO"/>
        </w:rPr>
        <w:t>entrará en vigencia</w:t>
      </w:r>
      <w:proofErr w:type="gramEnd"/>
      <w:r w:rsidR="00682056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a partir del 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>1</w:t>
      </w:r>
      <w:r w:rsidR="00682056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 </w:t>
      </w:r>
      <w:r w:rsidR="008C386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julio </w:t>
      </w:r>
      <w:r w:rsidR="00682056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de 2022, </w:t>
      </w:r>
      <w:r w:rsidR="00F702CF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salvo lo dispuesto en el artículo 9 y </w:t>
      </w:r>
      <w:r w:rsidR="00BE363F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que </w:t>
      </w:r>
      <w:r w:rsidR="00BE7BCB">
        <w:rPr>
          <w:rFonts w:ascii="Arial Narrow" w:eastAsia="Arial Narrow" w:hAnsi="Arial Narrow" w:cs="Arial Narrow"/>
          <w:sz w:val="22"/>
          <w:szCs w:val="22"/>
          <w:lang w:val="es-CO"/>
        </w:rPr>
        <w:t xml:space="preserve">se </w:t>
      </w:r>
      <w:r w:rsidR="00352AB0">
        <w:rPr>
          <w:rFonts w:ascii="Arial Narrow" w:eastAsia="Arial Narrow" w:hAnsi="Arial Narrow" w:cs="Arial Narrow"/>
          <w:sz w:val="22"/>
          <w:szCs w:val="22"/>
          <w:lang w:val="es-CO"/>
        </w:rPr>
        <w:t>derogará</w:t>
      </w:r>
      <w:r w:rsidR="00F702CF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la Resolución 2564 de 2016 a partir de la misma fecha, </w:t>
      </w:r>
      <w:r w:rsidR="00682056" w:rsidRPr="00482DFE">
        <w:rPr>
          <w:rFonts w:ascii="Arial Narrow" w:eastAsia="Arial Narrow" w:hAnsi="Arial Narrow" w:cs="Arial Narrow"/>
          <w:sz w:val="22"/>
          <w:szCs w:val="22"/>
          <w:lang w:val="es-CO"/>
        </w:rPr>
        <w:t>en razón de las modificaciones técnicas y ajustes que deben implementar los operadores postales de pago</w:t>
      </w:r>
      <w:r w:rsidR="006E07E7" w:rsidRPr="00482DFE">
        <w:rPr>
          <w:rFonts w:ascii="Arial Narrow" w:eastAsia="Arial Narrow" w:hAnsi="Arial Narrow" w:cs="Arial Narrow"/>
          <w:sz w:val="22"/>
          <w:szCs w:val="22"/>
          <w:lang w:val="es-CO"/>
        </w:rPr>
        <w:t>.</w:t>
      </w:r>
    </w:p>
    <w:p w14:paraId="5B153095" w14:textId="3C87E704" w:rsidR="006E07E7" w:rsidRPr="00482DFE" w:rsidRDefault="006E07E7" w:rsidP="002D0C4E">
      <w:pPr>
        <w:pStyle w:val="Encabezado"/>
        <w:widowControl/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7B4399E2" w14:textId="6D00C5F3" w:rsidR="00172892" w:rsidRDefault="002A59C9" w:rsidP="002D0C4E">
      <w:pPr>
        <w:pStyle w:val="Encabezado"/>
        <w:widowControl/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  <w:bookmarkStart w:id="1" w:name="_Hlk106639377"/>
      <w:r>
        <w:rPr>
          <w:rFonts w:ascii="Arial Narrow" w:eastAsia="Arial Narrow" w:hAnsi="Arial Narrow" w:cs="Arial Narrow"/>
          <w:sz w:val="22"/>
          <w:szCs w:val="22"/>
          <w:lang w:val="es-CO"/>
        </w:rPr>
        <w:t xml:space="preserve">Teniendo en cuenta que la Resolución 00003 de 2022 definió como plazo de implementación de la Resolución 1292 de 2021 el </w:t>
      </w:r>
      <w:r w:rsidR="00AF02BE">
        <w:rPr>
          <w:rFonts w:ascii="Arial Narrow" w:eastAsia="Arial Narrow" w:hAnsi="Arial Narrow" w:cs="Arial Narrow"/>
          <w:sz w:val="22"/>
          <w:szCs w:val="22"/>
          <w:lang w:val="es-CO"/>
        </w:rPr>
        <w:t xml:space="preserve">día </w:t>
      </w:r>
      <w:r>
        <w:rPr>
          <w:rFonts w:ascii="Arial Narrow" w:eastAsia="Arial Narrow" w:hAnsi="Arial Narrow" w:cs="Arial Narrow"/>
          <w:sz w:val="22"/>
          <w:szCs w:val="22"/>
          <w:lang w:val="es-CO"/>
        </w:rPr>
        <w:t xml:space="preserve">1 de julio de 2022 y que esto implicaba </w:t>
      </w:r>
      <w:r w:rsidR="005177C7">
        <w:rPr>
          <w:rFonts w:ascii="Arial Narrow" w:eastAsia="Arial Narrow" w:hAnsi="Arial Narrow" w:cs="Arial Narrow"/>
          <w:sz w:val="22"/>
          <w:szCs w:val="22"/>
          <w:lang w:val="es-CO"/>
        </w:rPr>
        <w:t xml:space="preserve">efectuar ajustes </w:t>
      </w:r>
      <w:r>
        <w:rPr>
          <w:rFonts w:ascii="Arial Narrow" w:eastAsia="Arial Narrow" w:hAnsi="Arial Narrow" w:cs="Arial Narrow"/>
          <w:sz w:val="22"/>
          <w:szCs w:val="22"/>
          <w:lang w:val="es-CO"/>
        </w:rPr>
        <w:t xml:space="preserve">por parte de los </w:t>
      </w:r>
      <w:r w:rsidR="00C56B3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operadores postales de pago </w:t>
      </w:r>
      <w:r w:rsidR="00055C28">
        <w:rPr>
          <w:rFonts w:ascii="Arial Narrow" w:eastAsia="Arial Narrow" w:hAnsi="Arial Narrow" w:cs="Arial Narrow"/>
          <w:sz w:val="22"/>
          <w:szCs w:val="22"/>
          <w:lang w:val="es-CO"/>
        </w:rPr>
        <w:t>en sus sistemas de información</w:t>
      </w:r>
      <w:r w:rsidR="00C56B34" w:rsidRPr="00482DFE">
        <w:rPr>
          <w:rFonts w:ascii="Arial Narrow" w:eastAsia="Arial Narrow" w:hAnsi="Arial Narrow" w:cs="Arial Narrow"/>
          <w:sz w:val="22"/>
          <w:szCs w:val="22"/>
          <w:lang w:val="es-CO"/>
        </w:rPr>
        <w:t>, implementación en los procesos operativos y logísticos, así como la capacitación del personal encargado de los puntos de atención con que cuenta cada operador</w:t>
      </w:r>
      <w:r w:rsidR="005177C7">
        <w:rPr>
          <w:rFonts w:ascii="Arial Narrow" w:eastAsia="Arial Narrow" w:hAnsi="Arial Narrow" w:cs="Arial Narrow"/>
          <w:sz w:val="22"/>
          <w:szCs w:val="22"/>
          <w:lang w:val="es-CO"/>
        </w:rPr>
        <w:t>,</w:t>
      </w:r>
      <w:r>
        <w:rPr>
          <w:rFonts w:ascii="Arial Narrow" w:eastAsia="Arial Narrow" w:hAnsi="Arial Narrow" w:cs="Arial Narrow"/>
          <w:sz w:val="22"/>
          <w:szCs w:val="22"/>
          <w:lang w:val="es-CO"/>
        </w:rPr>
        <w:t xml:space="preserve"> que esto representó un plazo de </w:t>
      </w:r>
      <w:r w:rsidR="005177C7">
        <w:rPr>
          <w:rFonts w:ascii="Arial Narrow" w:eastAsia="Arial Narrow" w:hAnsi="Arial Narrow" w:cs="Arial Narrow"/>
          <w:sz w:val="22"/>
          <w:szCs w:val="22"/>
          <w:lang w:val="es-CO"/>
        </w:rPr>
        <w:t xml:space="preserve">adecuación </w:t>
      </w:r>
      <w:r>
        <w:rPr>
          <w:rFonts w:ascii="Arial Narrow" w:eastAsia="Arial Narrow" w:hAnsi="Arial Narrow" w:cs="Arial Narrow"/>
          <w:sz w:val="22"/>
          <w:szCs w:val="22"/>
          <w:lang w:val="es-CO"/>
        </w:rPr>
        <w:t>mayor al esperado</w:t>
      </w:r>
      <w:r w:rsidR="005177C7">
        <w:rPr>
          <w:rFonts w:ascii="Arial Narrow" w:eastAsia="Arial Narrow" w:hAnsi="Arial Narrow" w:cs="Arial Narrow"/>
          <w:sz w:val="22"/>
          <w:szCs w:val="22"/>
          <w:lang w:val="es-CO"/>
        </w:rPr>
        <w:t xml:space="preserve"> y que</w:t>
      </w:r>
      <w:r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5177C7">
        <w:rPr>
          <w:rFonts w:ascii="Arial Narrow" w:eastAsia="Arial Narrow" w:hAnsi="Arial Narrow" w:cs="Arial Narrow"/>
          <w:sz w:val="22"/>
          <w:szCs w:val="22"/>
          <w:lang w:val="es-CO"/>
        </w:rPr>
        <w:t xml:space="preserve">según lo informado a este Ministerio por parte de los operadores postales de pago, </w:t>
      </w:r>
      <w:r>
        <w:rPr>
          <w:rFonts w:ascii="Arial Narrow" w:eastAsia="Arial Narrow" w:hAnsi="Arial Narrow" w:cs="Arial Narrow"/>
          <w:sz w:val="22"/>
          <w:szCs w:val="22"/>
          <w:lang w:val="es-CO"/>
        </w:rPr>
        <w:t>no se ha logrado en su totalidad</w:t>
      </w:r>
      <w:r w:rsidR="00676EE3" w:rsidRPr="00482DFE">
        <w:rPr>
          <w:rFonts w:ascii="Arial Narrow" w:eastAsia="Arial Narrow" w:hAnsi="Arial Narrow" w:cs="Arial Narrow"/>
          <w:sz w:val="22"/>
          <w:szCs w:val="22"/>
          <w:lang w:val="es-CO"/>
        </w:rPr>
        <w:t>,</w:t>
      </w:r>
      <w:r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C56B3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se hace necesario ampliar la fecha de su entrada en vigencia, con el objetivo de que los </w:t>
      </w:r>
      <w:r w:rsidR="00676EE3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operadores </w:t>
      </w:r>
      <w:r w:rsidR="00C56B3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cuenten con el tiempo </w:t>
      </w:r>
      <w:r w:rsidR="00C56B34" w:rsidRPr="4F2948CC">
        <w:rPr>
          <w:rFonts w:ascii="Arial Narrow" w:eastAsia="Arial Narrow" w:hAnsi="Arial Narrow" w:cs="Arial Narrow"/>
          <w:sz w:val="22"/>
          <w:szCs w:val="22"/>
          <w:lang w:val="es-CO"/>
        </w:rPr>
        <w:t>que requieran</w:t>
      </w:r>
      <w:r w:rsidR="00C56B3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para desplegar las adecuaciones pertinentes </w:t>
      </w:r>
      <w:r w:rsidR="00C56B34" w:rsidRPr="4F2948CC">
        <w:rPr>
          <w:rFonts w:ascii="Arial Narrow" w:eastAsia="Arial Narrow" w:hAnsi="Arial Narrow" w:cs="Arial Narrow"/>
          <w:sz w:val="22"/>
          <w:szCs w:val="22"/>
          <w:lang w:val="es-CO"/>
        </w:rPr>
        <w:t>para</w:t>
      </w:r>
      <w:r w:rsidR="00C56B3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que puedan atender debidamente las disposiciones en materia de rie</w:t>
      </w:r>
      <w:r>
        <w:rPr>
          <w:rFonts w:ascii="Arial Narrow" w:eastAsia="Arial Narrow" w:hAnsi="Arial Narrow" w:cs="Arial Narrow"/>
          <w:sz w:val="22"/>
          <w:szCs w:val="22"/>
          <w:lang w:val="es-CO"/>
        </w:rPr>
        <w:t>s</w:t>
      </w:r>
      <w:r w:rsidR="00C56B34" w:rsidRPr="00482DFE">
        <w:rPr>
          <w:rFonts w:ascii="Arial Narrow" w:eastAsia="Arial Narrow" w:hAnsi="Arial Narrow" w:cs="Arial Narrow"/>
          <w:sz w:val="22"/>
          <w:szCs w:val="22"/>
          <w:lang w:val="es-CO"/>
        </w:rPr>
        <w:t>gos asociados al lavado de activos, financiamiento del terrorismo y la financiación de la proliferación de armas de destrucción masiva.</w:t>
      </w:r>
    </w:p>
    <w:p w14:paraId="033AB84A" w14:textId="36002630" w:rsidR="00172892" w:rsidRPr="00482DFE" w:rsidRDefault="00172892" w:rsidP="002D0C4E">
      <w:pPr>
        <w:pStyle w:val="Encabezado"/>
        <w:widowControl/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172892">
        <w:rPr>
          <w:rFonts w:ascii="Arial Narrow" w:eastAsia="Arial Narrow" w:hAnsi="Arial Narrow" w:cs="Arial Narrow"/>
          <w:sz w:val="22"/>
          <w:szCs w:val="22"/>
          <w:lang w:val="es-CO"/>
        </w:rPr>
        <w:lastRenderedPageBreak/>
        <w:t xml:space="preserve">Una vez realizado el análisis </w:t>
      </w:r>
      <w:r>
        <w:rPr>
          <w:rFonts w:ascii="Arial Narrow" w:eastAsia="Arial Narrow" w:hAnsi="Arial Narrow" w:cs="Arial Narrow"/>
          <w:sz w:val="22"/>
          <w:szCs w:val="22"/>
          <w:lang w:val="es-CO"/>
        </w:rPr>
        <w:t xml:space="preserve">a las modificaciones propuestas con la presente resolución, frente a </w:t>
      </w:r>
      <w:r w:rsidRPr="00172892">
        <w:rPr>
          <w:rFonts w:ascii="Arial Narrow" w:eastAsia="Arial Narrow" w:hAnsi="Arial Narrow" w:cs="Arial Narrow"/>
          <w:sz w:val="22"/>
          <w:szCs w:val="22"/>
          <w:lang w:val="es-CO"/>
        </w:rPr>
        <w:t xml:space="preserve">lo </w:t>
      </w:r>
      <w:r>
        <w:rPr>
          <w:rFonts w:ascii="Arial Narrow" w:eastAsia="Arial Narrow" w:hAnsi="Arial Narrow" w:cs="Arial Narrow"/>
          <w:sz w:val="22"/>
          <w:szCs w:val="22"/>
          <w:lang w:val="es-CO"/>
        </w:rPr>
        <w:t xml:space="preserve">que </w:t>
      </w:r>
      <w:r w:rsidRPr="00172892">
        <w:rPr>
          <w:rFonts w:ascii="Arial Narrow" w:eastAsia="Arial Narrow" w:hAnsi="Arial Narrow" w:cs="Arial Narrow"/>
          <w:sz w:val="22"/>
          <w:szCs w:val="22"/>
          <w:lang w:val="es-CO"/>
        </w:rPr>
        <w:t>dispone la Superintendencia de Industria y Comercio, se estableció que el presente acto administrativo no tiene incidencia en la libre competencia, por lo que no se requiere el concepto de abogacía de la competencia</w:t>
      </w:r>
      <w:r>
        <w:rPr>
          <w:rFonts w:ascii="Arial Narrow" w:eastAsia="Arial Narrow" w:hAnsi="Arial Narrow" w:cs="Arial Narrow"/>
          <w:sz w:val="22"/>
          <w:szCs w:val="22"/>
          <w:lang w:val="es-CO"/>
        </w:rPr>
        <w:t>.</w:t>
      </w:r>
    </w:p>
    <w:bookmarkEnd w:id="1"/>
    <w:p w14:paraId="21C5CE4B" w14:textId="77777777" w:rsidR="006E07E7" w:rsidRPr="00482DFE" w:rsidRDefault="006E07E7" w:rsidP="002D0C4E">
      <w:pPr>
        <w:pStyle w:val="Encabezado"/>
        <w:widowControl/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36AA7EDD" w14:textId="0E773F13" w:rsidR="00682056" w:rsidRPr="00482DFE" w:rsidRDefault="00682056" w:rsidP="002D0C4E">
      <w:pPr>
        <w:spacing w:after="0" w:line="276" w:lineRule="auto"/>
        <w:ind w:right="51"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De conformidad con lo previsto en la </w:t>
      </w:r>
      <w:r w:rsidR="00661DD3" w:rsidRPr="00482DFE">
        <w:rPr>
          <w:rFonts w:ascii="Arial Narrow" w:eastAsia="Arial Narrow" w:hAnsi="Arial Narrow" w:cs="Arial Narrow"/>
          <w:sz w:val="22"/>
          <w:szCs w:val="22"/>
          <w:lang w:val="es-CO"/>
        </w:rPr>
        <w:t>S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ección 3 del </w:t>
      </w:r>
      <w:r w:rsidR="00661DD3" w:rsidRPr="00482DFE">
        <w:rPr>
          <w:rFonts w:ascii="Arial Narrow" w:eastAsia="Arial Narrow" w:hAnsi="Arial Narrow" w:cs="Arial Narrow"/>
          <w:sz w:val="22"/>
          <w:szCs w:val="22"/>
          <w:lang w:val="es-CO"/>
        </w:rPr>
        <w:t>C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apítulo 1 de la Resolución 2112 de 2020</w:t>
      </w:r>
      <w:r w:rsidR="008B6993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del M</w:t>
      </w:r>
      <w:r w:rsidR="000208D0" w:rsidRPr="00482DFE">
        <w:rPr>
          <w:rFonts w:ascii="Arial Narrow" w:eastAsia="Arial Narrow" w:hAnsi="Arial Narrow" w:cs="Arial Narrow"/>
          <w:sz w:val="22"/>
          <w:szCs w:val="22"/>
          <w:lang w:val="es-CO"/>
        </w:rPr>
        <w:t>inisterio de Tecnologías de la Información y las Comunicaciones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, las disposiciones de que trata la presente Resolución fueron publicadas en el sitio web del Ministerio, durante el período comprendido entre el </w:t>
      </w:r>
      <w:proofErr w:type="spellStart"/>
      <w:r w:rsidR="00F702CF" w:rsidRPr="00482DFE">
        <w:rPr>
          <w:rFonts w:ascii="Arial Narrow" w:eastAsia="Arial Narrow" w:hAnsi="Arial Narrow" w:cs="Arial Narrow"/>
          <w:sz w:val="22"/>
          <w:szCs w:val="22"/>
          <w:highlight w:val="cyan"/>
          <w:lang w:val="es-CO"/>
        </w:rPr>
        <w:t>xx</w:t>
      </w:r>
      <w:proofErr w:type="spellEnd"/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 </w:t>
      </w:r>
      <w:proofErr w:type="spellStart"/>
      <w:r w:rsidRPr="00482DFE">
        <w:rPr>
          <w:rFonts w:ascii="Arial Narrow" w:eastAsia="Arial Narrow" w:hAnsi="Arial Narrow" w:cs="Arial Narrow"/>
          <w:sz w:val="22"/>
          <w:szCs w:val="22"/>
          <w:highlight w:val="cyan"/>
          <w:lang w:val="es-CO"/>
        </w:rPr>
        <w:t>xxxxx</w:t>
      </w:r>
      <w:proofErr w:type="spellEnd"/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 202</w:t>
      </w:r>
      <w:r w:rsidR="00F702CF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2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y el </w:t>
      </w:r>
      <w:proofErr w:type="spellStart"/>
      <w:r w:rsidRPr="00482DFE">
        <w:rPr>
          <w:rFonts w:ascii="Arial Narrow" w:eastAsia="Arial Narrow" w:hAnsi="Arial Narrow" w:cs="Arial Narrow"/>
          <w:sz w:val="22"/>
          <w:szCs w:val="22"/>
          <w:highlight w:val="cyan"/>
          <w:lang w:val="es-CO"/>
        </w:rPr>
        <w:t>xxxx</w:t>
      </w:r>
      <w:proofErr w:type="spellEnd"/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 </w:t>
      </w:r>
      <w:proofErr w:type="spellStart"/>
      <w:r w:rsidRPr="00482DFE">
        <w:rPr>
          <w:rFonts w:ascii="Arial Narrow" w:eastAsia="Arial Narrow" w:hAnsi="Arial Narrow" w:cs="Arial Narrow"/>
          <w:sz w:val="22"/>
          <w:szCs w:val="22"/>
          <w:highlight w:val="cyan"/>
          <w:lang w:val="es-CO"/>
        </w:rPr>
        <w:t>xxxxx</w:t>
      </w:r>
      <w:proofErr w:type="spellEnd"/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 202</w:t>
      </w:r>
      <w:r w:rsidR="00F702CF" w:rsidRPr="00482DFE">
        <w:rPr>
          <w:rFonts w:ascii="Arial Narrow" w:eastAsia="Arial Narrow" w:hAnsi="Arial Narrow" w:cs="Arial Narrow"/>
          <w:sz w:val="22"/>
          <w:szCs w:val="22"/>
          <w:lang w:val="es-CO"/>
        </w:rPr>
        <w:t>2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, con el fin de recibir opiniones, sugerencias o propuestas alternativas por parte de los ciudadanos y grupos de interés.</w:t>
      </w:r>
    </w:p>
    <w:p w14:paraId="6FF487A4" w14:textId="77777777" w:rsidR="0057156D" w:rsidRPr="00482DFE" w:rsidRDefault="0057156D" w:rsidP="002D0C4E">
      <w:pPr>
        <w:spacing w:after="0" w:line="276" w:lineRule="auto"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13049844" w14:textId="77777777" w:rsidR="0057156D" w:rsidRPr="00482DFE" w:rsidRDefault="0057156D" w:rsidP="002D0C4E">
      <w:pPr>
        <w:spacing w:after="0"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En mérito de lo expuesto,</w:t>
      </w:r>
    </w:p>
    <w:p w14:paraId="713953DD" w14:textId="44EA8E6F" w:rsidR="0057156D" w:rsidRPr="00482DFE" w:rsidRDefault="0057156D" w:rsidP="002D0C4E">
      <w:pPr>
        <w:pStyle w:val="Ttulo2"/>
        <w:spacing w:line="276" w:lineRule="auto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ES"/>
        </w:rPr>
        <w:t>RESUELVE</w:t>
      </w:r>
    </w:p>
    <w:p w14:paraId="766D174C" w14:textId="40D42A8C" w:rsidR="0057156D" w:rsidRPr="00482DFE" w:rsidRDefault="0057156D" w:rsidP="002D0C4E">
      <w:pPr>
        <w:tabs>
          <w:tab w:val="left" w:pos="5362"/>
        </w:tabs>
        <w:spacing w:after="0" w:line="276" w:lineRule="auto"/>
        <w:rPr>
          <w:rFonts w:ascii="Arial Narrow" w:eastAsia="Arial Narrow" w:hAnsi="Arial Narrow" w:cs="Arial Narrow"/>
          <w:sz w:val="22"/>
          <w:szCs w:val="22"/>
        </w:rPr>
      </w:pPr>
    </w:p>
    <w:p w14:paraId="3298CB20" w14:textId="1E454E43" w:rsidR="003343E8" w:rsidRPr="00482DFE" w:rsidRDefault="0057156D" w:rsidP="002D0C4E">
      <w:pPr>
        <w:spacing w:after="0" w:line="276" w:lineRule="auto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</w:rPr>
        <w:t>ART</w:t>
      </w:r>
      <w:r w:rsidR="00F20AF9" w:rsidRPr="00482DFE">
        <w:rPr>
          <w:rFonts w:ascii="Arial Narrow" w:eastAsia="Arial Narrow" w:hAnsi="Arial Narrow" w:cs="Arial Narrow"/>
          <w:b/>
          <w:sz w:val="22"/>
          <w:szCs w:val="22"/>
        </w:rPr>
        <w:t>Í</w:t>
      </w:r>
      <w:r w:rsidRPr="00482DFE">
        <w:rPr>
          <w:rFonts w:ascii="Arial Narrow" w:eastAsia="Arial Narrow" w:hAnsi="Arial Narrow" w:cs="Arial Narrow"/>
          <w:b/>
          <w:sz w:val="22"/>
          <w:szCs w:val="22"/>
        </w:rPr>
        <w:t xml:space="preserve">CULO </w:t>
      </w:r>
      <w:r w:rsidR="001D27F9" w:rsidRPr="00482DFE">
        <w:rPr>
          <w:rFonts w:ascii="Arial Narrow" w:eastAsia="Arial Narrow" w:hAnsi="Arial Narrow" w:cs="Arial Narrow"/>
          <w:b/>
          <w:sz w:val="22"/>
          <w:szCs w:val="22"/>
        </w:rPr>
        <w:t>1</w:t>
      </w:r>
      <w:r w:rsidRPr="00482DFE">
        <w:rPr>
          <w:rFonts w:ascii="Arial Narrow" w:eastAsia="Arial Narrow" w:hAnsi="Arial Narrow" w:cs="Arial Narrow"/>
          <w:b/>
          <w:sz w:val="22"/>
          <w:szCs w:val="22"/>
        </w:rPr>
        <w:t>.</w:t>
      </w:r>
      <w:r w:rsidR="002F105F" w:rsidRPr="00482DFE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913A19"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>MODIFICACIÓN</w:t>
      </w:r>
      <w:r w:rsidR="0079670E"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 xml:space="preserve"> DEL ARTÍCULO 3 DE LA RESOLUCIÓN 1292 DE 2021</w:t>
      </w:r>
      <w:r w:rsidR="003343E8"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 xml:space="preserve">. </w:t>
      </w:r>
      <w:r w:rsidR="00913A19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Modificar </w:t>
      </w:r>
      <w:r w:rsidR="003343E8" w:rsidRPr="00482DFE">
        <w:rPr>
          <w:rFonts w:ascii="Arial Narrow" w:eastAsia="Arial Narrow" w:hAnsi="Arial Narrow" w:cs="Arial Narrow"/>
          <w:sz w:val="22"/>
          <w:szCs w:val="22"/>
          <w:lang w:val="es-CO"/>
        </w:rPr>
        <w:t>el artículo 3 de la Resolución 1292 de 2021,</w:t>
      </w:r>
      <w:r w:rsidR="00676EE3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modificado por el artículo 1 de la Resolución 00003 de 2022,</w:t>
      </w:r>
      <w:r w:rsidR="003343E8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el cual quedará así:</w:t>
      </w:r>
    </w:p>
    <w:p w14:paraId="2AB55328" w14:textId="77777777" w:rsidR="003343E8" w:rsidRPr="00482DFE" w:rsidRDefault="003343E8" w:rsidP="002D0C4E">
      <w:pPr>
        <w:spacing w:after="0" w:line="276" w:lineRule="auto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p w14:paraId="0943F8C8" w14:textId="75671C93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“ARTÍCULO 3. </w:t>
      </w:r>
      <w:r w:rsidR="000D3922"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>DEFINICIONES Y ACRÓNIMOS</w:t>
      </w:r>
      <w:r w:rsidR="000D3922"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.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Para efectos de la interpretación y aplicación de la presente resolución se tendrán en cuenta las siguientes definiciones:</w:t>
      </w:r>
    </w:p>
    <w:p w14:paraId="0FABBC91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p w14:paraId="433D8658" w14:textId="0D0C5BEC" w:rsidR="00950B9A" w:rsidRPr="00482DFE" w:rsidRDefault="00950B9A" w:rsidP="002D0C4E">
      <w:pPr>
        <w:tabs>
          <w:tab w:val="left" w:pos="709"/>
        </w:tabs>
        <w:spacing w:after="0" w:line="276" w:lineRule="auto"/>
        <w:ind w:left="709" w:right="618"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Alta gerencia: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Personas responsables de dirigir, ejecutar, tomar decisiones, y supervisar las operaciones del Operador Postal, bajo la dirección de la Junta Directiva u órgano equivalente.</w:t>
      </w:r>
    </w:p>
    <w:p w14:paraId="79FB92D9" w14:textId="77777777" w:rsidR="00950B9A" w:rsidRPr="00482DFE" w:rsidRDefault="00950B9A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p w14:paraId="4A6DCB16" w14:textId="6B821F6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Análisis de riesgo: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Es la identificación y valoración de los eventos de riesgo que se pueden generar en el desarrollo de las actividades propias de los Operadores de Servicios Postales de Pago, y la definición de las causas que podrían dar origen o generar dichos eventos de riesgo. </w:t>
      </w:r>
    </w:p>
    <w:p w14:paraId="7114DE9C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</w:p>
    <w:p w14:paraId="48ACFBC9" w14:textId="2B31CECB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Beneficiario final: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Es toda persona natural que, sin ser necesariamente cliente</w:t>
      </w:r>
      <w:r w:rsidR="00285C0A" w:rsidRPr="00482DFE">
        <w:rPr>
          <w:rFonts w:ascii="Arial Narrow" w:eastAsia="Arial Narrow" w:hAnsi="Arial Narrow" w:cs="Arial Narrow"/>
          <w:sz w:val="22"/>
          <w:szCs w:val="22"/>
          <w:lang w:val="es-CO"/>
        </w:rPr>
        <w:t>,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cumple con cualquiera de las siguientes características:</w:t>
      </w:r>
    </w:p>
    <w:p w14:paraId="2F442443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642FFACD" w14:textId="30D71105" w:rsidR="003343E8" w:rsidRPr="00482DFE" w:rsidRDefault="003343E8" w:rsidP="002D0C4E">
      <w:pPr>
        <w:numPr>
          <w:ilvl w:val="0"/>
          <w:numId w:val="2"/>
        </w:numPr>
        <w:spacing w:after="0" w:line="276" w:lineRule="auto"/>
        <w:ind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Es propietaria, individual o conjuntamente, directa o indirectamente</w:t>
      </w:r>
      <w:r w:rsidR="00285C0A" w:rsidRPr="00482DFE">
        <w:rPr>
          <w:rFonts w:ascii="Arial Narrow" w:eastAsia="Arial Narrow" w:hAnsi="Arial Narrow" w:cs="Arial Narrow"/>
          <w:sz w:val="22"/>
          <w:szCs w:val="22"/>
          <w:lang w:val="es-CO"/>
        </w:rPr>
        <w:t>,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 una participación superior al 5% del capital social, aporte o participación en una persona jurídica. </w:t>
      </w:r>
    </w:p>
    <w:p w14:paraId="1FB569DC" w14:textId="77777777" w:rsidR="003343E8" w:rsidRPr="00482DFE" w:rsidRDefault="003343E8" w:rsidP="002D0C4E">
      <w:pPr>
        <w:numPr>
          <w:ilvl w:val="0"/>
          <w:numId w:val="2"/>
        </w:numPr>
        <w:spacing w:after="0" w:line="276" w:lineRule="auto"/>
        <w:ind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Ejerce algún tipo de control en una persona jurídica, de acuerdo con las disposiciones descritas en el artículo 261 del Código de Comercio. </w:t>
      </w:r>
    </w:p>
    <w:p w14:paraId="0DAAD92B" w14:textId="77777777" w:rsidR="003343E8" w:rsidRPr="00482DFE" w:rsidRDefault="003343E8" w:rsidP="002D0C4E">
      <w:pPr>
        <w:numPr>
          <w:ilvl w:val="0"/>
          <w:numId w:val="2"/>
        </w:numPr>
        <w:spacing w:after="0" w:line="276" w:lineRule="auto"/>
        <w:ind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Es por cuenta de quien se lleva a cabo una transacción. Se entiende que esta persona es aquella sobre quien recaen los efectos económicos de dicha transacción. </w:t>
      </w:r>
    </w:p>
    <w:p w14:paraId="6E59FB98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5FD3604C" w14:textId="2BA01CD0" w:rsidR="00905BFC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Cliente</w:t>
      </w:r>
      <w:r w:rsidR="008C2E6F"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 del </w:t>
      </w:r>
      <w:r w:rsidR="00431D4C"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Servicio P</w:t>
      </w:r>
      <w:r w:rsidR="001C486A"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ostal de </w:t>
      </w:r>
      <w:r w:rsidR="00431D4C"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Pa</w:t>
      </w:r>
      <w:r w:rsidR="001C486A"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go: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Es el remitente del giro con el cual el Operador de Servicios Postales de Pago establece y mantiene una relación contractual para la prestación del servicio postal de pago, quien a su vez realiza una o varias operaciones durante un mismo mes, teniendo en cuenta los montos de operación fijados por el Ministerio de Tecnologías de la Información y las Comunicaciones mediante resolución.</w:t>
      </w:r>
      <w:r w:rsidR="00AD537A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</w:p>
    <w:p w14:paraId="7BC15D8B" w14:textId="77777777" w:rsidR="00905BFC" w:rsidRPr="00482DFE" w:rsidRDefault="00905BFC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0D15E02C" w14:textId="07BA7FA5" w:rsidR="003343E8" w:rsidRDefault="005C6657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P</w:t>
      </w:r>
      <w:r w:rsidR="00AD537A" w:rsidRPr="00482DFE">
        <w:rPr>
          <w:rFonts w:ascii="Arial Narrow" w:eastAsia="Arial Narrow" w:hAnsi="Arial Narrow" w:cs="Arial Narrow"/>
          <w:sz w:val="22"/>
          <w:szCs w:val="22"/>
          <w:lang w:val="es-CO"/>
        </w:rPr>
        <w:t>ara todos los efectos</w:t>
      </w:r>
      <w:r w:rsidR="001C486A" w:rsidRPr="00482DFE">
        <w:rPr>
          <w:rFonts w:ascii="Arial Narrow" w:eastAsia="Arial Narrow" w:hAnsi="Arial Narrow" w:cs="Arial Narrow"/>
          <w:sz w:val="22"/>
          <w:szCs w:val="22"/>
          <w:lang w:val="es-CO"/>
        </w:rPr>
        <w:t>,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AD537A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cuando </w:t>
      </w:r>
      <w:r w:rsidR="00905BFC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en </w:t>
      </w:r>
      <w:r w:rsidR="002F6223" w:rsidRPr="00482DFE">
        <w:rPr>
          <w:rFonts w:ascii="Arial Narrow" w:eastAsia="Arial Narrow" w:hAnsi="Arial Narrow" w:cs="Arial Narrow"/>
          <w:sz w:val="22"/>
          <w:szCs w:val="22"/>
          <w:lang w:val="es-CO"/>
        </w:rPr>
        <w:t>esta</w:t>
      </w:r>
      <w:r w:rsidR="00905BFC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resolución se haga referencia</w:t>
      </w:r>
      <w:r w:rsidR="001C486A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AD537A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al cliente </w:t>
      </w:r>
      <w:r w:rsidR="001C486A" w:rsidRPr="00482DFE">
        <w:rPr>
          <w:rFonts w:ascii="Arial Narrow" w:eastAsia="Arial Narrow" w:hAnsi="Arial Narrow" w:cs="Arial Narrow"/>
          <w:sz w:val="22"/>
          <w:szCs w:val="22"/>
          <w:lang w:val="es-CO"/>
        </w:rPr>
        <w:t>este se entenderá como e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l </w:t>
      </w:r>
      <w:r w:rsidR="00AD537A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cliente del </w:t>
      </w:r>
      <w:r w:rsidR="00431D4C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Servicio Postal de Pago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aquí definido</w:t>
      </w:r>
      <w:r w:rsidR="00AD537A" w:rsidRPr="00482DFE">
        <w:rPr>
          <w:rFonts w:ascii="Arial Narrow" w:eastAsia="Arial Narrow" w:hAnsi="Arial Narrow" w:cs="Arial Narrow"/>
          <w:sz w:val="22"/>
          <w:szCs w:val="22"/>
          <w:lang w:val="es-CO"/>
        </w:rPr>
        <w:t>.</w:t>
      </w:r>
      <w:r w:rsidR="003343E8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</w:p>
    <w:p w14:paraId="18BF8614" w14:textId="77777777" w:rsidR="00A84FEC" w:rsidRPr="00482DFE" w:rsidRDefault="00A84FEC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59E9A9E2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Colaborador empresarial: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Personas naturales o jurídicas que disponen de puntos de atención al público, con las cuales el Operador de Servicios Postales de Pago realiza un contrato, para ofrecer sus servicios a través de una red o grupo de redes. </w:t>
      </w:r>
    </w:p>
    <w:p w14:paraId="1EE6B4B0" w14:textId="0FC034F5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lastRenderedPageBreak/>
        <w:t>Contrapartes: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Personas naturales o jurídicas con las cuales el Operador Postal de Pago establece y mantiene una relación contractual o algún tipo de vínculo jurídico. Son contrapartes: los accionistas, proveedores, colaboradores empresariales y empleados del Operador de Servicio Postal de Pago. </w:t>
      </w:r>
    </w:p>
    <w:p w14:paraId="13AE7684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270570BC" w14:textId="48BD3369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Control de riesgos: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Es la parte de administración de riesgos que involucra la implementación de políticas, estándares, procedimientos y actividades implementadas, que proporcionan reducción de la probabilidad y el impacto de los riesgos.</w:t>
      </w:r>
    </w:p>
    <w:p w14:paraId="16C29A6A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</w:p>
    <w:p w14:paraId="42AA9E3D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Evaluación de riesgos: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Consiste en medir la probabilidad de ocurrencia del riesgo de LA/FT identificado en las actividades propias como Operador de Servicios Postales de Pago, así como el impacto para la empresa en caso de materializarse. </w:t>
      </w:r>
    </w:p>
    <w:p w14:paraId="268559D0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64D33742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Evento de riesgo LA/FT: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Es un incidente, situación o suceso, asociado a LA/FT que podría generarse dentro de la operación normal del Operador de Servicios Postales de Pago y que podría constituirse en un delito conexo al lavado de activos y financiación del terrorismo.</w:t>
      </w:r>
    </w:p>
    <w:p w14:paraId="15FBCFBF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785D9405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Factores de riesgo: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Son los agentes generadores del riesgo de LA/FT. Para efectos de la presente resolución el Operador de Servicios Postales de Pago debe tener en cuenta como mínimo los siguientes: </w:t>
      </w:r>
    </w:p>
    <w:p w14:paraId="39048884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7DF5FDCD" w14:textId="407A2BE5" w:rsidR="003343E8" w:rsidRPr="00482DFE" w:rsidRDefault="003343E8" w:rsidP="002D0C4E">
      <w:pPr>
        <w:numPr>
          <w:ilvl w:val="0"/>
          <w:numId w:val="1"/>
        </w:numPr>
        <w:spacing w:after="0" w:line="276" w:lineRule="auto"/>
        <w:ind w:left="106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Clientes/usuarios </w:t>
      </w:r>
    </w:p>
    <w:p w14:paraId="6116971C" w14:textId="77777777" w:rsidR="003343E8" w:rsidRPr="00482DFE" w:rsidRDefault="003343E8" w:rsidP="002D0C4E">
      <w:pPr>
        <w:numPr>
          <w:ilvl w:val="0"/>
          <w:numId w:val="1"/>
        </w:numPr>
        <w:spacing w:after="0" w:line="276" w:lineRule="auto"/>
        <w:ind w:left="106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Productos, </w:t>
      </w:r>
    </w:p>
    <w:p w14:paraId="3AAFEDE8" w14:textId="77777777" w:rsidR="003343E8" w:rsidRPr="00482DFE" w:rsidRDefault="003343E8" w:rsidP="002D0C4E">
      <w:pPr>
        <w:numPr>
          <w:ilvl w:val="0"/>
          <w:numId w:val="1"/>
        </w:numPr>
        <w:spacing w:after="0" w:line="276" w:lineRule="auto"/>
        <w:ind w:left="106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Canales de distribución y </w:t>
      </w:r>
    </w:p>
    <w:p w14:paraId="0A46A3DE" w14:textId="77777777" w:rsidR="003343E8" w:rsidRPr="00482DFE" w:rsidRDefault="003343E8" w:rsidP="002D0C4E">
      <w:pPr>
        <w:numPr>
          <w:ilvl w:val="0"/>
          <w:numId w:val="1"/>
        </w:numPr>
        <w:spacing w:after="0" w:line="276" w:lineRule="auto"/>
        <w:ind w:left="106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Jurisdicciones.</w:t>
      </w:r>
    </w:p>
    <w:p w14:paraId="5309332B" w14:textId="77777777" w:rsidR="003343E8" w:rsidRPr="00482DFE" w:rsidRDefault="003343E8" w:rsidP="002D0C4E">
      <w:pPr>
        <w:spacing w:after="0" w:line="276" w:lineRule="auto"/>
        <w:ind w:left="1056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</w:p>
    <w:p w14:paraId="22FCE951" w14:textId="6271D279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Financiación del Terrorismo: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Es la conducta penal descrita en el artículo 345 de la Ley 599 de 2000, modificado por el artículo 16 de la </w:t>
      </w:r>
      <w:r w:rsidR="00B12A09" w:rsidRPr="00482DFE">
        <w:rPr>
          <w:rFonts w:ascii="Arial Narrow" w:eastAsia="Arial Narrow" w:hAnsi="Arial Narrow" w:cs="Arial Narrow"/>
          <w:sz w:val="22"/>
          <w:szCs w:val="22"/>
          <w:lang w:val="es-CO"/>
        </w:rPr>
        <w:t>L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ey 1453 de 2011.</w:t>
      </w:r>
    </w:p>
    <w:p w14:paraId="5B8F8318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2BA5122D" w14:textId="43A4632B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GAFI: Grupo de Acción Financiera: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Organismo intergubernamental constituido en 1989, que tiene como propósito desarrollar y promover políticas y medidas a nivel nacional e internacional para combatir el Lavado de Activos y la Financiación del Terrorismo. </w:t>
      </w:r>
    </w:p>
    <w:p w14:paraId="76B715BF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68CA3293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Gestión del riesgo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: Conjunto de políticas, metodologías y procedimientos que define un Operador de Servicios Postales de Pago, para llevar a cabo una adecuada identificación, medición, control y monitoreo del Riesgo de LA/FT. Asimismo, incorpora el trazar estrategias para disminuir la vulnerabilidad y promover acciones para mitigar y prevenir el riesgo de lavado de activos y financiación del terrorismo en las actividades propias de los Operadores de Servicios Postales de Pago. </w:t>
      </w:r>
    </w:p>
    <w:p w14:paraId="30032AB6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048A64E2" w14:textId="016A339A" w:rsidR="003343E8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Interesados (partes interesadas):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Personas u organizaciones que pueden afectar o ser afectadas por las actividades de una empresa.</w:t>
      </w:r>
    </w:p>
    <w:p w14:paraId="624A5F0E" w14:textId="77777777" w:rsidR="00A84FEC" w:rsidRPr="00482DFE" w:rsidRDefault="00A84FEC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3C5278F9" w14:textId="11626622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LA/FT: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Lavado de Activos y Financiación del Terrorismo.</w:t>
      </w:r>
    </w:p>
    <w:p w14:paraId="34942061" w14:textId="60611B14" w:rsidR="4F2948CC" w:rsidRDefault="4F2948CC" w:rsidP="4F2948CC">
      <w:pPr>
        <w:spacing w:after="0" w:line="276" w:lineRule="auto"/>
        <w:ind w:left="708" w:right="618"/>
        <w:contextualSpacing/>
        <w:rPr>
          <w:lang w:val="es-CO"/>
        </w:rPr>
      </w:pPr>
    </w:p>
    <w:p w14:paraId="3658AA1C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Lavado de activos: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Conjunto de operaciones tendientes a ocultar o disfrazar el origen ilícito de unos bienes o recursos mal habidos. En Colombia esta conducta está penalizada en el artículo 323 del Código Penal, modificado por el artículo 11 de la Ley 1762 de 2015. </w:t>
      </w:r>
    </w:p>
    <w:p w14:paraId="6D5FEF31" w14:textId="3425C66E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lastRenderedPageBreak/>
        <w:t>Listas vinculantes: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Son las listas emitidas por el Consejo de Seguridad de las Naciones Unidas, dentro del Capítulo VII de la Carta de las Naciones Unidas.</w:t>
      </w:r>
    </w:p>
    <w:p w14:paraId="283A2E39" w14:textId="77777777" w:rsidR="00676EE3" w:rsidRPr="00482DFE" w:rsidRDefault="00676EE3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7B0D309F" w14:textId="40B708A0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Oficial de Cumplimiento: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Gestor del riesgo</w:t>
      </w: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de LA/FT designado por la junta directiva del Operador de Servicios Postales de Pago y que cumple las funciones designadas en el numeral 6.5.3. del artículo 6,</w:t>
      </w: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de la presente norma.</w:t>
      </w:r>
    </w:p>
    <w:p w14:paraId="48D2C781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p w14:paraId="440F4025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Operador de servicios postales: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Persona jurídica habilitada por el Ministerio de Tecnologías de la Información y las Comunicaciones que ofrece al público en general servicios postales, a través de una red postal, de acuerdo con lo dispuesto en el numeral 4 del artículo 3 de la Ley 1369 de 2009.</w:t>
      </w:r>
    </w:p>
    <w:p w14:paraId="181C9300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1B402C63" w14:textId="147D421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Operador de Servicios Postales de Pago. 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Persona jurídica, habilitada por el Ministerio de Tecnologías de la Información y las Comunicaciones para prestar servicios postales de pago, y </w:t>
      </w:r>
      <w:r w:rsidR="00E8727A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que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está sometid</w:t>
      </w:r>
      <w:r w:rsidR="00E8727A" w:rsidRPr="00482DFE">
        <w:rPr>
          <w:rFonts w:ascii="Arial Narrow" w:eastAsia="Arial Narrow" w:hAnsi="Arial Narrow" w:cs="Arial Narrow"/>
          <w:sz w:val="22"/>
          <w:szCs w:val="22"/>
          <w:lang w:val="es-CO"/>
        </w:rPr>
        <w:t>a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a la reglamentación que en materia de lavado de activos disponga la ley y sus decretos reglamentarios, de acuerdo con lo dispuesto en el numeral 4.2 del artículo 3 de la Ley 1369 de 2009.</w:t>
      </w:r>
    </w:p>
    <w:p w14:paraId="07F38D16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p w14:paraId="25784489" w14:textId="1D6A236E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Operación inusual: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Es aquella cuya cuantía o características no guarda relación con la actividad económica ordinaria o normal de una persona natural o jurídica o, que por su número, cantidad o características no se ajusta a las pautas de normalidad establecidas por el Operador de Servicios Postales de Pago, para un sector, una industria o una clase de contraparte.</w:t>
      </w:r>
    </w:p>
    <w:p w14:paraId="11E9F072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56BA137D" w14:textId="245D1B30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Operación sospechosa: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Es aquella que por su número, cantidad o características no </w:t>
      </w:r>
      <w:r w:rsidR="00056A67" w:rsidRPr="00482DFE">
        <w:rPr>
          <w:rFonts w:ascii="Arial Narrow" w:eastAsia="Arial Narrow" w:hAnsi="Arial Narrow" w:cs="Arial Narrow"/>
          <w:sz w:val="22"/>
          <w:szCs w:val="22"/>
          <w:lang w:val="es-CO"/>
        </w:rPr>
        <w:t>se enmarca en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los sistemas y prácticas normales de los negocios, de una industria o de un sector determinado y, además, que de acuerdo con los usos y costumbres de la actividad que se trate, no ha podido ser razonablemente justificada. Cuando se detecten esta clase de operaciones, deben ser reportadas de manera inmediata a la UIAF.</w:t>
      </w:r>
    </w:p>
    <w:p w14:paraId="3B8A8697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4C5A2313" w14:textId="19F4A500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Personas Expuestas Políticamente (PEP) Nacionales y Extranjeras: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Son las enunciadas en el Decreto 830 de 2021 o</w:t>
      </w:r>
      <w:r w:rsidR="008D3969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en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la norma que lo modifique,</w:t>
      </w:r>
      <w:r w:rsidR="008D3969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adicione o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sustituya.</w:t>
      </w:r>
    </w:p>
    <w:p w14:paraId="39007009" w14:textId="77777777" w:rsidR="003343E8" w:rsidRPr="00482DFE" w:rsidRDefault="003343E8" w:rsidP="002D0C4E">
      <w:pPr>
        <w:spacing w:after="0" w:line="276" w:lineRule="auto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60D6E4D5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Proveedor: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Persona natural o jurídica que abastece con artículos o servicios que apoyan al Operador de Servicios Postales de Pago o a la empresa. </w:t>
      </w:r>
    </w:p>
    <w:p w14:paraId="2F1597DF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6A700D57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Riesgos asociados al LA/FT: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Son los riesgos que se generan como consecuencia de la materialización de un evento de LA/FT, estos son: reputacional, legal, operativo y contagio. </w:t>
      </w:r>
    </w:p>
    <w:p w14:paraId="67BCBFCF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4F17560B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Riesgo de contagio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: Es la posibilidad de pérdida que un Operador de Servicios Postales de Pago puede sufrir, directa o indirectamente, por una acción u omisión de alguna de las partes vinculadas con este.</w:t>
      </w: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 </w:t>
      </w:r>
    </w:p>
    <w:p w14:paraId="15BF3989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Riesgo inherente: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Es el nivel de riesgo propio de la actividad, sin tener en cuenta el efecto de los controles. </w:t>
      </w:r>
    </w:p>
    <w:p w14:paraId="640EFBEF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2DE3DE63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Riesgo de Lavado de Activos y de la Financiación del Terrorismo: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Es la posibilidad de pérdida o daño que puede sufrir el Operador de Servicios Postales de Pago por su propensión a ser utilizada directamente o a través de sus operaciones como instrumento para el lavado de activos y/o canalización de recursos hacia la realización de actividades terroristas, o cuando se pretenda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lastRenderedPageBreak/>
        <w:t xml:space="preserve">el ocultamiento de activos provenientes de dichas actividades. </w:t>
      </w:r>
    </w:p>
    <w:p w14:paraId="19D73849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70970476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Riesgo legal: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Es la posibilidad de pérdida en que incurre el Operador de Servicios Postales de Pago al ser sancionado u obligado a indemnizar daños como resultado del incumplimiento de normas o regulaciones y obligaciones contractuales. También como consecuencia de fallas en los contratos con los Colaboradores empresariales y Proveedores que impidan las transacciones de los giros postales, derivadas de actuaciones malintencionadas, negligencia o actos involuntarios que afectan la formalización o su ejecución. </w:t>
      </w:r>
    </w:p>
    <w:p w14:paraId="6C9308B1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5FC168CF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Riesgo operativo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: Es la posibilidad de que un Operador de Servicios Postales de Pago incurra en pérdidas o eventual incumplimiento de sus obligaciones por deficiencias, fallas o inadecuaciones en el recurso humano, los procesos, la tecnología informática, la infraestructura o por la ocurrencia de acontecimientos externos. Esta definición incluye el riesgo legal. </w:t>
      </w:r>
    </w:p>
    <w:p w14:paraId="19DEA671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0DA3FD58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Riesgo reputacional: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Es la posibilidad de pérdida en que incurre un Operador de Servicios Postales de Pago por desprestigio, mala imagen, publicidad negativa, cierta o no, respecto de la institución y sus prácticas de negocios, que cause pérdida de clientes, disminución de ingresos o procesos judiciales. </w:t>
      </w:r>
    </w:p>
    <w:p w14:paraId="673AC699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54E1CD2C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Riesgo residual o neto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: Es el nivel resultante del riesgo después de aplicar los controles. </w:t>
      </w:r>
    </w:p>
    <w:p w14:paraId="7588F8E8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22C1DA03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Segmentación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: Es el proceso por medio del cual se lleva a cabo la separación de elementos en grupos homogéneos al interior de ellos y heterogéneos entre ellos. La separación se fundamenta en el reconocimiento de diferencias significativas en sus características (variables de segmentación). </w:t>
      </w:r>
    </w:p>
    <w:p w14:paraId="01D57724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75484F94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Señales de alerta o alertas tempranas: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Conjunto de indicadores cualitativos y cuantitativos que permiten identificar oportuna y/o prospectivamente comportamientos atípicos de las variables relevantes, previamente determinadas por el Operador de Servicios Postales de Pago. </w:t>
      </w:r>
    </w:p>
    <w:p w14:paraId="7221E71D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19AC282B" w14:textId="4BE498B5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UIAF: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Unidad de Información y Análisis Financiero. </w:t>
      </w:r>
    </w:p>
    <w:p w14:paraId="7C8DAAFF" w14:textId="77777777" w:rsidR="003343E8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5AD68226" w14:textId="387E1887" w:rsidR="00EE6C15" w:rsidRPr="00482DFE" w:rsidRDefault="003343E8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Usuario</w:t>
      </w:r>
      <w:r w:rsidR="008C2E6F"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 del Servicio Postal de Pago</w:t>
      </w: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: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Es tanto el remitente del giro que no se encuentra</w:t>
      </w: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clasificado como cliente</w:t>
      </w:r>
      <w:r w:rsidR="008C2E6F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del servicio postal de pago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, así como el destinatario del giro, que utilizan los servicios de un Operador de Servicio Postal de Pago.</w:t>
      </w:r>
      <w:r w:rsidR="005C6657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</w:p>
    <w:p w14:paraId="63B890C5" w14:textId="77777777" w:rsidR="00EE6C15" w:rsidRPr="00482DFE" w:rsidRDefault="00EE6C15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6C92CE4B" w14:textId="58F88D1A" w:rsidR="00395365" w:rsidRPr="00482DFE" w:rsidRDefault="005C6657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Para todos los efectos</w:t>
      </w:r>
      <w:r w:rsidR="00EE6C15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,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se </w:t>
      </w:r>
      <w:r w:rsidR="00EE6C15" w:rsidRPr="00482DFE">
        <w:rPr>
          <w:rFonts w:ascii="Arial Narrow" w:eastAsia="Arial Narrow" w:hAnsi="Arial Narrow" w:cs="Arial Narrow"/>
          <w:sz w:val="22"/>
          <w:szCs w:val="22"/>
          <w:lang w:val="es-CO"/>
        </w:rPr>
        <w:t>haga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EE6C15" w:rsidRPr="00482DFE">
        <w:rPr>
          <w:rFonts w:ascii="Arial Narrow" w:eastAsia="Arial Narrow" w:hAnsi="Arial Narrow" w:cs="Arial Narrow"/>
          <w:sz w:val="22"/>
          <w:szCs w:val="22"/>
          <w:lang w:val="es-CO"/>
        </w:rPr>
        <w:t>referencia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en la presente resolución</w:t>
      </w:r>
      <w:r w:rsidR="00EE6C15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al usuario, este se entenderá como el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usuario del </w:t>
      </w:r>
      <w:r w:rsidR="00EE6C15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Servicio Postal de Pago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aquí definido. </w:t>
      </w:r>
      <w:r w:rsidR="003343E8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</w:p>
    <w:p w14:paraId="1DB5BADD" w14:textId="77777777" w:rsidR="00A84FEC" w:rsidRPr="00482DFE" w:rsidRDefault="00A84FEC" w:rsidP="002D0C4E">
      <w:pPr>
        <w:spacing w:after="0" w:line="276" w:lineRule="auto"/>
        <w:ind w:left="708" w:right="618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p w14:paraId="79F5DAAB" w14:textId="47ACD3A6" w:rsidR="00395365" w:rsidRPr="00482DFE" w:rsidRDefault="00395365" w:rsidP="002D0C4E">
      <w:pPr>
        <w:spacing w:after="0" w:line="276" w:lineRule="auto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ARTÍCULO 2. </w:t>
      </w:r>
      <w:r w:rsidR="0079670E"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 xml:space="preserve">MODIFICACIÓN DEL </w:t>
      </w:r>
      <w:r w:rsidR="00BB43FD"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 xml:space="preserve">NUMERAL 6.2.3. DEL </w:t>
      </w:r>
      <w:r w:rsidR="0079670E"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>ARTÍCULO 6 DE LA RESOLUCIÓN 1292 DE 2021</w:t>
      </w:r>
      <w:r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 xml:space="preserve">.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Modificar el </w:t>
      </w:r>
      <w:r w:rsidR="00BB43FD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numeral 6.2.3. del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artículo 6 de la Resolución 1292 de 2021, </w:t>
      </w:r>
      <w:r w:rsidR="00676EE3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modificado por el artículo 2 de la Resolución 00003 de 2022,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el cual quedará así:</w:t>
      </w:r>
    </w:p>
    <w:p w14:paraId="775E0151" w14:textId="6C657C34" w:rsidR="00676EE3" w:rsidRPr="00482DFE" w:rsidRDefault="00676EE3" w:rsidP="002D0C4E">
      <w:pPr>
        <w:spacing w:after="0" w:line="276" w:lineRule="auto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59CF6E3F" w14:textId="5CE49FCA" w:rsidR="00395365" w:rsidRPr="00482DFE" w:rsidRDefault="00395365" w:rsidP="002D0C4E">
      <w:pPr>
        <w:spacing w:after="0" w:line="276" w:lineRule="auto"/>
        <w:ind w:left="567" w:right="618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“ARTÍCULO 6. </w:t>
      </w:r>
      <w:r w:rsidR="000D3922"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ELEMENTOS DEL SARLAFT.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El SARLAFT para el Operador de Servicios Postales de Pago deberá contemplar los siguientes elementos:</w:t>
      </w:r>
      <w:r w:rsidR="00913A19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="00BB43FD" w:rsidRPr="00482DFE">
        <w:rPr>
          <w:rFonts w:ascii="Arial Narrow" w:eastAsia="Arial Narrow" w:hAnsi="Arial Narrow" w:cs="Arial Narrow"/>
          <w:sz w:val="22"/>
          <w:szCs w:val="22"/>
          <w:lang w:val="es-CO"/>
        </w:rPr>
        <w:t>(…)</w:t>
      </w:r>
    </w:p>
    <w:p w14:paraId="1D600AD1" w14:textId="77777777" w:rsidR="00395365" w:rsidRPr="00482DFE" w:rsidRDefault="00395365" w:rsidP="002D0C4E">
      <w:pPr>
        <w:pStyle w:val="Default"/>
        <w:spacing w:line="276" w:lineRule="auto"/>
        <w:ind w:left="567" w:right="618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1A4F820E" w14:textId="77777777" w:rsidR="00913A19" w:rsidRPr="00482DFE" w:rsidRDefault="00BB43FD" w:rsidP="002D0C4E">
      <w:pPr>
        <w:spacing w:after="0" w:line="276" w:lineRule="auto"/>
        <w:ind w:left="567" w:right="618"/>
        <w:rPr>
          <w:rFonts w:ascii="Arial Narrow" w:eastAsia="Arial Narrow" w:hAnsi="Arial Narrow" w:cs="Arial Narrow"/>
          <w:b/>
          <w:sz w:val="22"/>
          <w:szCs w:val="22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</w:rPr>
        <w:t xml:space="preserve">(…) </w:t>
      </w:r>
    </w:p>
    <w:p w14:paraId="7E7EADF6" w14:textId="77777777" w:rsidR="00913A19" w:rsidRPr="00482DFE" w:rsidRDefault="00913A19" w:rsidP="002D0C4E">
      <w:pPr>
        <w:spacing w:after="0" w:line="276" w:lineRule="auto"/>
        <w:ind w:left="567" w:right="618"/>
        <w:rPr>
          <w:rFonts w:ascii="Arial Narrow" w:eastAsia="Arial Narrow" w:hAnsi="Arial Narrow" w:cs="Arial Narrow"/>
          <w:b/>
          <w:sz w:val="22"/>
          <w:szCs w:val="22"/>
        </w:rPr>
      </w:pPr>
    </w:p>
    <w:p w14:paraId="6F0C3A6F" w14:textId="0BDDF61A" w:rsidR="00CF7424" w:rsidRPr="00482DFE" w:rsidRDefault="00395365" w:rsidP="002D0C4E">
      <w:pPr>
        <w:spacing w:after="0" w:line="276" w:lineRule="auto"/>
        <w:ind w:left="567" w:right="618"/>
        <w:rPr>
          <w:rFonts w:ascii="Arial Narrow" w:eastAsia="Arial Narrow" w:hAnsi="Arial Narrow" w:cs="Arial Narrow"/>
          <w:sz w:val="22"/>
          <w:szCs w:val="22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6.2.3 Medidas intensificadas para las personas expuestas políticamente (PEP). </w:t>
      </w:r>
      <w:r w:rsidR="00BB43FD" w:rsidRPr="00482DFE">
        <w:rPr>
          <w:rFonts w:ascii="Arial Narrow" w:eastAsia="Arial Narrow" w:hAnsi="Arial Narrow" w:cs="Arial Narrow"/>
          <w:sz w:val="22"/>
          <w:szCs w:val="22"/>
        </w:rPr>
        <w:t>El Operador de Servicios Postales de Pago deberá incluir procedimientos especiales frente al conocimiento de los clientes, usuarios, y beneficiarios finales declarados como Persona Expuesta Políticamente PEP, para lo cual deberá tener en cuenta los siguientes lineamientos:</w:t>
      </w:r>
    </w:p>
    <w:p w14:paraId="7E22F9DF" w14:textId="77777777" w:rsidR="00890909" w:rsidRPr="00482DFE" w:rsidRDefault="00890909" w:rsidP="002D0C4E">
      <w:pPr>
        <w:spacing w:after="0" w:line="276" w:lineRule="auto"/>
        <w:ind w:left="567" w:right="618"/>
        <w:rPr>
          <w:rFonts w:ascii="Arial Narrow" w:eastAsia="Arial Narrow" w:hAnsi="Arial Narrow" w:cs="Arial Narrow"/>
          <w:i/>
          <w:sz w:val="22"/>
          <w:szCs w:val="22"/>
        </w:rPr>
      </w:pPr>
    </w:p>
    <w:p w14:paraId="485BF72F" w14:textId="544BBCBC" w:rsidR="001F6753" w:rsidRPr="00482DFE" w:rsidRDefault="001F6753" w:rsidP="002D0C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right="618" w:hanging="426"/>
        <w:contextualSpacing/>
        <w:jc w:val="both"/>
        <w:rPr>
          <w:rFonts w:ascii="Arial Narrow" w:eastAsia="Arial Narrow" w:hAnsi="Arial Narrow" w:cs="Arial Narrow"/>
          <w:sz w:val="22"/>
          <w:szCs w:val="22"/>
          <w:lang w:val="es-CO" w:eastAsia="en-US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 w:eastAsia="en-US"/>
        </w:rPr>
        <w:t xml:space="preserve">Contar con sistemas </w:t>
      </w:r>
      <w:r w:rsidR="00C23E51">
        <w:rPr>
          <w:rFonts w:ascii="Arial Narrow" w:eastAsia="Arial Narrow" w:hAnsi="Arial Narrow" w:cs="Arial Narrow"/>
          <w:sz w:val="22"/>
          <w:szCs w:val="22"/>
          <w:lang w:val="es-CO" w:eastAsia="en-US"/>
        </w:rPr>
        <w:t xml:space="preserve">de información </w:t>
      </w:r>
      <w:r w:rsidRPr="00482DFE">
        <w:rPr>
          <w:rFonts w:ascii="Arial Narrow" w:eastAsia="Arial Narrow" w:hAnsi="Arial Narrow" w:cs="Arial Narrow"/>
          <w:sz w:val="22"/>
          <w:szCs w:val="22"/>
          <w:lang w:val="es-CO" w:eastAsia="en-US"/>
        </w:rPr>
        <w:t>apropiados de gestión de riesgo para determinar si el cliente, usuario o beneficiario final es una Persona Expuesta Políticamente</w:t>
      </w:r>
      <w:bookmarkStart w:id="2" w:name="_Hlk106169622"/>
      <w:r w:rsidRPr="00482DFE">
        <w:rPr>
          <w:rFonts w:ascii="Arial Narrow" w:eastAsia="Arial Narrow" w:hAnsi="Arial Narrow" w:cs="Arial Narrow"/>
          <w:sz w:val="22"/>
          <w:szCs w:val="22"/>
          <w:lang w:val="es-CO" w:eastAsia="en-US"/>
        </w:rPr>
        <w:t xml:space="preserve"> -PEP.</w:t>
      </w:r>
    </w:p>
    <w:p w14:paraId="04A7A813" w14:textId="7AA12A23" w:rsidR="001F6753" w:rsidRPr="00482DFE" w:rsidRDefault="001F6753" w:rsidP="002D0C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right="618" w:hanging="426"/>
        <w:contextualSpacing/>
        <w:jc w:val="both"/>
        <w:rPr>
          <w:rFonts w:ascii="Arial Narrow" w:eastAsia="Arial Narrow" w:hAnsi="Arial Narrow" w:cs="Arial Narrow"/>
          <w:sz w:val="22"/>
          <w:szCs w:val="22"/>
          <w:lang w:val="es-CO" w:eastAsia="en-US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 w:eastAsia="en-US"/>
        </w:rPr>
        <w:t xml:space="preserve">Incluir procedimientos </w:t>
      </w:r>
      <w:r w:rsidR="00C23E51">
        <w:rPr>
          <w:rFonts w:ascii="Arial Narrow" w:eastAsia="Arial Narrow" w:hAnsi="Arial Narrow" w:cs="Arial Narrow"/>
          <w:sz w:val="22"/>
          <w:szCs w:val="22"/>
          <w:lang w:val="es-CO" w:eastAsia="en-US"/>
        </w:rPr>
        <w:t xml:space="preserve">de debida diligencia intensificada en el proceso </w:t>
      </w:r>
      <w:r w:rsidRPr="00482DFE">
        <w:rPr>
          <w:rFonts w:ascii="Arial Narrow" w:eastAsia="Arial Narrow" w:hAnsi="Arial Narrow" w:cs="Arial Narrow"/>
          <w:sz w:val="22"/>
          <w:szCs w:val="22"/>
          <w:lang w:val="es-CO" w:eastAsia="en-US"/>
        </w:rPr>
        <w:t xml:space="preserve">de vinculación y monitoreo de </w:t>
      </w:r>
      <w:r w:rsidR="00274AC0">
        <w:rPr>
          <w:rFonts w:ascii="Arial Narrow" w:eastAsia="Arial Narrow" w:hAnsi="Arial Narrow" w:cs="Arial Narrow"/>
          <w:sz w:val="22"/>
          <w:szCs w:val="22"/>
          <w:lang w:val="es-CO" w:eastAsia="en-US"/>
        </w:rPr>
        <w:t>una</w:t>
      </w:r>
      <w:r w:rsidRPr="00482DFE">
        <w:rPr>
          <w:rFonts w:ascii="Arial Narrow" w:eastAsia="Arial Narrow" w:hAnsi="Arial Narrow" w:cs="Arial Narrow"/>
          <w:sz w:val="22"/>
          <w:szCs w:val="22"/>
          <w:lang w:val="es-CO" w:eastAsia="en-US"/>
        </w:rPr>
        <w:t xml:space="preserve"> PEP que permitan conocer mejor el perfil de est</w:t>
      </w:r>
      <w:r w:rsidR="008A4A18">
        <w:rPr>
          <w:rFonts w:ascii="Arial Narrow" w:eastAsia="Arial Narrow" w:hAnsi="Arial Narrow" w:cs="Arial Narrow"/>
          <w:sz w:val="22"/>
          <w:szCs w:val="22"/>
          <w:lang w:val="es-CO" w:eastAsia="en-US"/>
        </w:rPr>
        <w:t>a</w:t>
      </w:r>
      <w:r w:rsidRPr="00482DFE">
        <w:rPr>
          <w:rFonts w:ascii="Arial Narrow" w:eastAsia="Arial Narrow" w:hAnsi="Arial Narrow" w:cs="Arial Narrow"/>
          <w:sz w:val="22"/>
          <w:szCs w:val="22"/>
          <w:lang w:val="es-CO" w:eastAsia="en-US"/>
        </w:rPr>
        <w:t xml:space="preserve"> y el origen de los fondos.</w:t>
      </w:r>
    </w:p>
    <w:p w14:paraId="2EE78E03" w14:textId="13DA6978" w:rsidR="001F6753" w:rsidRPr="00482DFE" w:rsidRDefault="001F6753" w:rsidP="002D0C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right="618" w:hanging="426"/>
        <w:contextualSpacing/>
        <w:jc w:val="both"/>
        <w:rPr>
          <w:rFonts w:ascii="Arial Narrow" w:eastAsia="Arial Narrow" w:hAnsi="Arial Narrow" w:cs="Arial Narrow"/>
          <w:sz w:val="22"/>
          <w:szCs w:val="22"/>
          <w:lang w:val="es-CO" w:eastAsia="en-US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 w:eastAsia="en-US"/>
        </w:rPr>
        <w:t xml:space="preserve">Incluir un procedimiento, donde la Persona Expuesta Políticamente -PEP debe contar con la aprobación de la alta gerencia para su respectiva vinculación. </w:t>
      </w:r>
    </w:p>
    <w:bookmarkEnd w:id="2"/>
    <w:p w14:paraId="043FC9E8" w14:textId="7B845FE5" w:rsidR="001F6753" w:rsidRPr="00482DFE" w:rsidRDefault="001F6753" w:rsidP="002D0C4E">
      <w:pPr>
        <w:pStyle w:val="Default"/>
        <w:spacing w:line="276" w:lineRule="auto"/>
        <w:ind w:left="993" w:right="618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1E318154" w14:textId="5A42C9B1" w:rsidR="001F6753" w:rsidRPr="00482DFE" w:rsidRDefault="001F6753" w:rsidP="002D0C4E">
      <w:pPr>
        <w:pStyle w:val="Default"/>
        <w:spacing w:line="276" w:lineRule="auto"/>
        <w:ind w:right="618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482DFE">
        <w:rPr>
          <w:rFonts w:ascii="Arial Narrow" w:eastAsia="Arial Narrow" w:hAnsi="Arial Narrow" w:cs="Arial Narrow"/>
          <w:color w:val="auto"/>
          <w:sz w:val="22"/>
          <w:szCs w:val="22"/>
        </w:rPr>
        <w:t>Lo anterior, sin perjuicio de la reglamentación que expida el Gobierno nacional sobre la materia</w:t>
      </w:r>
      <w:r w:rsidR="00C23E51">
        <w:rPr>
          <w:rFonts w:ascii="Arial Narrow" w:eastAsia="Arial Narrow" w:hAnsi="Arial Narrow" w:cs="Arial Narrow"/>
          <w:color w:val="auto"/>
          <w:sz w:val="22"/>
          <w:szCs w:val="22"/>
        </w:rPr>
        <w:t>”</w:t>
      </w:r>
      <w:r w:rsidRPr="00482DFE">
        <w:rPr>
          <w:rFonts w:ascii="Arial Narrow" w:eastAsia="Arial Narrow" w:hAnsi="Arial Narrow" w:cs="Arial Narrow"/>
          <w:color w:val="auto"/>
          <w:sz w:val="22"/>
          <w:szCs w:val="22"/>
        </w:rPr>
        <w:t>.</w:t>
      </w:r>
      <w:r w:rsidR="00C23E51" w:rsidRPr="00482DFE" w:rsidDel="00C23E51"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</w:p>
    <w:p w14:paraId="620B3DA4" w14:textId="77777777" w:rsidR="00395365" w:rsidRPr="00482DFE" w:rsidRDefault="00395365" w:rsidP="002D0C4E">
      <w:pPr>
        <w:pStyle w:val="Default"/>
        <w:spacing w:line="276" w:lineRule="auto"/>
        <w:ind w:left="567" w:right="618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31FF3105" w14:textId="25E67CF9" w:rsidR="00BB2DE5" w:rsidRPr="00482DFE" w:rsidRDefault="00BB2DE5" w:rsidP="002D0C4E">
      <w:pPr>
        <w:spacing w:after="0" w:line="276" w:lineRule="auto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ARTÍCULO </w:t>
      </w:r>
      <w:r w:rsidR="00CC5685"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3</w:t>
      </w: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. </w:t>
      </w:r>
      <w:r w:rsidR="003D10FA"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 xml:space="preserve">MODIFICACIÓN DEL ARTÍCULO 10 DE LA RESOLUCIÓN 1292 DE 2021.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Modificar el artículo 10 de la Resolución 12</w:t>
      </w:r>
      <w:r w:rsidR="009A4CBB" w:rsidRPr="00482DFE">
        <w:rPr>
          <w:rFonts w:ascii="Arial Narrow" w:eastAsia="Arial Narrow" w:hAnsi="Arial Narrow" w:cs="Arial Narrow"/>
          <w:sz w:val="22"/>
          <w:szCs w:val="22"/>
          <w:lang w:val="es-CO"/>
        </w:rPr>
        <w:t>9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2 de 2021, </w:t>
      </w:r>
      <w:r w:rsidR="006367E1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modificado por el artículo 4 de la Resolución 00003 de 2022,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el cual quedará así:</w:t>
      </w:r>
    </w:p>
    <w:p w14:paraId="26085FD7" w14:textId="77777777" w:rsidR="00BB2DE5" w:rsidRPr="00482DFE" w:rsidRDefault="00BB2DE5" w:rsidP="002D0C4E">
      <w:pPr>
        <w:spacing w:after="0" w:line="276" w:lineRule="auto"/>
        <w:contextualSpacing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p w14:paraId="2A517879" w14:textId="26D34D2C" w:rsidR="00BB2DE5" w:rsidRPr="00482DFE" w:rsidRDefault="00BB2DE5" w:rsidP="002D0C4E">
      <w:pPr>
        <w:spacing w:after="0" w:line="276" w:lineRule="auto"/>
        <w:ind w:left="567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“ARTÍCULO 10. </w:t>
      </w:r>
      <w:r w:rsidR="00DC4D36" w:rsidRPr="006644B1">
        <w:rPr>
          <w:rFonts w:ascii="Arial Narrow" w:eastAsia="Arial Narrow" w:hAnsi="Arial Narrow" w:cs="Arial Narrow"/>
          <w:b/>
          <w:i/>
          <w:iCs/>
          <w:sz w:val="22"/>
          <w:szCs w:val="22"/>
          <w:lang w:val="es-CO"/>
        </w:rPr>
        <w:t>VIGENCIA Y DEROGATORIAS</w:t>
      </w:r>
      <w:r w:rsidR="00DC4D36"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. </w:t>
      </w:r>
      <w:r w:rsidR="0078312E" w:rsidRPr="00482DFE">
        <w:rPr>
          <w:rFonts w:ascii="Arial Narrow" w:eastAsia="Arial Narrow" w:hAnsi="Arial Narrow" w:cs="Arial Narrow"/>
          <w:sz w:val="22"/>
          <w:szCs w:val="22"/>
          <w:lang w:val="es-CO"/>
        </w:rPr>
        <w:t>L</w:t>
      </w:r>
      <w:r w:rsidR="00736028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a presente Resolución rige a partir del </w:t>
      </w:r>
      <w:r w:rsidR="00890909" w:rsidRPr="00482DFE">
        <w:rPr>
          <w:rFonts w:ascii="Arial Narrow" w:eastAsia="Arial Narrow" w:hAnsi="Arial Narrow" w:cs="Arial Narrow"/>
          <w:sz w:val="22"/>
          <w:szCs w:val="22"/>
          <w:lang w:val="es-CO"/>
        </w:rPr>
        <w:t>1 de noviembre de</w:t>
      </w:r>
      <w:r w:rsidR="00736028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2022</w:t>
      </w:r>
      <w:r w:rsidR="0078312E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, salvo lo dispuesto en el artículo 9 que rige a partir </w:t>
      </w:r>
      <w:r w:rsidR="004021E1" w:rsidRPr="00482DFE">
        <w:rPr>
          <w:rFonts w:ascii="Arial Narrow" w:eastAsia="Arial Narrow" w:hAnsi="Arial Narrow" w:cs="Arial Narrow"/>
          <w:sz w:val="22"/>
          <w:szCs w:val="22"/>
          <w:lang w:val="es-CO"/>
        </w:rPr>
        <w:t>de su publicación en el Diario Oficial,</w:t>
      </w:r>
      <w:r w:rsidR="00736028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y deroga la Resolución 2564 de 2016</w:t>
      </w:r>
      <w:r w:rsidR="00160024"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a partir de la misma fecha.</w:t>
      </w:r>
    </w:p>
    <w:p w14:paraId="6A6C75A0" w14:textId="77777777" w:rsidR="00AE021E" w:rsidRPr="00482DFE" w:rsidRDefault="00AE021E" w:rsidP="002D0C4E">
      <w:pPr>
        <w:spacing w:after="0" w:line="276" w:lineRule="auto"/>
        <w:ind w:left="567" w:right="618"/>
        <w:contextualSpacing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0EEBF834" w14:textId="5FCE7CEF" w:rsidR="00BB2DE5" w:rsidRPr="00482DFE" w:rsidRDefault="00BB2DE5" w:rsidP="002D0C4E">
      <w:pPr>
        <w:spacing w:line="276" w:lineRule="auto"/>
        <w:rPr>
          <w:rFonts w:ascii="Arial Narrow" w:eastAsia="Arial Narrow" w:hAnsi="Arial Narrow" w:cs="Arial Narrow"/>
          <w:i/>
          <w:sz w:val="22"/>
          <w:szCs w:val="22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Artículo </w:t>
      </w:r>
      <w:r w:rsidR="00CC5685"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4</w:t>
      </w: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.</w:t>
      </w:r>
      <w:r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 xml:space="preserve"> </w:t>
      </w:r>
      <w:r w:rsidR="0079670E"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>VIGENCIA Y MODIFICACIONES</w:t>
      </w:r>
      <w:r w:rsidRPr="00482DFE">
        <w:rPr>
          <w:rFonts w:ascii="Arial Narrow" w:eastAsia="Arial Narrow" w:hAnsi="Arial Narrow" w:cs="Arial Narrow"/>
          <w:b/>
          <w:i/>
          <w:sz w:val="22"/>
          <w:szCs w:val="22"/>
          <w:lang w:val="es-CO"/>
        </w:rPr>
        <w:t>.</w:t>
      </w: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 xml:space="preserve"> 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La presente Resolución rige a partir </w:t>
      </w:r>
      <w:r w:rsidR="00F2071A" w:rsidRPr="00482DFE">
        <w:rPr>
          <w:rFonts w:ascii="Arial Narrow" w:eastAsia="Arial Narrow" w:hAnsi="Arial Narrow" w:cs="Arial Narrow"/>
          <w:sz w:val="22"/>
          <w:szCs w:val="22"/>
          <w:lang w:val="es-CO"/>
        </w:rPr>
        <w:t>de la fecha de su publicación en el Diario Oficial</w:t>
      </w: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 xml:space="preserve"> y modifica </w:t>
      </w:r>
      <w:r w:rsidR="00041AB7" w:rsidRPr="00482DFE">
        <w:rPr>
          <w:rFonts w:ascii="Arial Narrow" w:eastAsia="Arial Narrow" w:hAnsi="Arial Narrow" w:cs="Arial Narrow"/>
          <w:sz w:val="22"/>
          <w:szCs w:val="22"/>
        </w:rPr>
        <w:t>el numeral 6.2.3. del artículo 6, y los artículos 3 y 10 de la Resolución 1292 de 2021, modificados por la Resolución 00003 de 2022.</w:t>
      </w:r>
    </w:p>
    <w:p w14:paraId="608D489F" w14:textId="77777777" w:rsidR="0057156D" w:rsidRPr="00482DFE" w:rsidRDefault="0057156D" w:rsidP="002D0C4E">
      <w:pPr>
        <w:pStyle w:val="Textoindependiente"/>
        <w:spacing w:after="0" w:line="276" w:lineRule="auto"/>
        <w:ind w:right="142"/>
        <w:jc w:val="both"/>
        <w:outlineLvl w:val="0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2F6237F2" w14:textId="77777777" w:rsidR="00BB2DE5" w:rsidRPr="00482DFE" w:rsidRDefault="00BB2DE5" w:rsidP="002D0C4E">
      <w:pPr>
        <w:tabs>
          <w:tab w:val="left" w:pos="851"/>
          <w:tab w:val="left" w:pos="9072"/>
        </w:tabs>
        <w:spacing w:after="0" w:line="276" w:lineRule="auto"/>
        <w:ind w:left="-142"/>
        <w:contextualSpacing/>
        <w:jc w:val="center"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PUBLÍQUESE Y CÚMPLASE</w:t>
      </w:r>
    </w:p>
    <w:p w14:paraId="199A387A" w14:textId="77777777" w:rsidR="0057156D" w:rsidRPr="00482DFE" w:rsidRDefault="0012090A" w:rsidP="002D0C4E">
      <w:pPr>
        <w:pStyle w:val="Textoindependiente"/>
        <w:spacing w:after="0" w:line="276" w:lineRule="auto"/>
        <w:ind w:right="334"/>
        <w:jc w:val="left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482DFE">
        <w:rPr>
          <w:rFonts w:ascii="Arial Narrow" w:eastAsia="Arial Narrow" w:hAnsi="Arial Narrow" w:cs="Arial Narrow"/>
          <w:color w:val="auto"/>
          <w:sz w:val="22"/>
          <w:szCs w:val="22"/>
        </w:rPr>
        <w:t>Dada</w:t>
      </w:r>
      <w:r w:rsidR="0057156D" w:rsidRPr="00482DFE">
        <w:rPr>
          <w:rFonts w:ascii="Arial Narrow" w:eastAsia="Arial Narrow" w:hAnsi="Arial Narrow" w:cs="Arial Narrow"/>
          <w:color w:val="auto"/>
          <w:sz w:val="22"/>
          <w:szCs w:val="22"/>
        </w:rPr>
        <w:t xml:space="preserve"> en Bogotá D.C., a los </w:t>
      </w:r>
    </w:p>
    <w:p w14:paraId="60716F64" w14:textId="0339C825" w:rsidR="00A655C2" w:rsidRDefault="00A655C2" w:rsidP="002D0C4E">
      <w:pPr>
        <w:widowControl/>
        <w:spacing w:after="0" w:line="276" w:lineRule="auto"/>
        <w:ind w:right="334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5ABFF574" w14:textId="77777777" w:rsidR="006734FC" w:rsidRDefault="006734FC" w:rsidP="002D0C4E">
      <w:pPr>
        <w:widowControl/>
        <w:spacing w:after="0" w:line="276" w:lineRule="auto"/>
        <w:ind w:right="334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2F8841AA" w14:textId="77777777" w:rsidR="00890909" w:rsidRPr="00482DFE" w:rsidRDefault="00890909" w:rsidP="002D0C4E">
      <w:pPr>
        <w:widowControl/>
        <w:spacing w:after="0" w:line="276" w:lineRule="auto"/>
        <w:ind w:right="334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235C259A" w14:textId="77777777" w:rsidR="00BB2DE5" w:rsidRPr="00482DFE" w:rsidRDefault="00BB2DE5" w:rsidP="002D0C4E">
      <w:pPr>
        <w:tabs>
          <w:tab w:val="left" w:pos="9072"/>
        </w:tabs>
        <w:spacing w:after="0" w:line="276" w:lineRule="auto"/>
        <w:contextualSpacing/>
        <w:jc w:val="center"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b/>
          <w:sz w:val="22"/>
          <w:szCs w:val="22"/>
          <w:lang w:val="es-CO"/>
        </w:rPr>
        <w:t>CARMEN LIGIA VALDERRAMA ROJAS</w:t>
      </w:r>
    </w:p>
    <w:p w14:paraId="05A0E2BE" w14:textId="673FA738" w:rsidR="00E07E4D" w:rsidRDefault="00BB2DE5" w:rsidP="006734FC">
      <w:pPr>
        <w:tabs>
          <w:tab w:val="left" w:pos="9072"/>
        </w:tabs>
        <w:spacing w:after="0" w:line="276" w:lineRule="auto"/>
        <w:contextualSpacing/>
        <w:jc w:val="center"/>
        <w:rPr>
          <w:rFonts w:ascii="Arial Narrow" w:eastAsia="Arial Narrow" w:hAnsi="Arial Narrow" w:cs="Arial Narrow"/>
          <w:sz w:val="22"/>
          <w:szCs w:val="22"/>
          <w:lang w:val="es-CO"/>
        </w:rPr>
      </w:pPr>
      <w:r w:rsidRPr="00482DFE">
        <w:rPr>
          <w:rFonts w:ascii="Arial Narrow" w:eastAsia="Arial Narrow" w:hAnsi="Arial Narrow" w:cs="Arial Narrow"/>
          <w:sz w:val="22"/>
          <w:szCs w:val="22"/>
          <w:lang w:val="es-CO"/>
        </w:rPr>
        <w:t>Ministra de Tecnologías de la Información y las Comunicaciones</w:t>
      </w:r>
    </w:p>
    <w:p w14:paraId="0409B38D" w14:textId="77777777" w:rsidR="006734FC" w:rsidRPr="00482DFE" w:rsidRDefault="006734FC" w:rsidP="006734FC">
      <w:pPr>
        <w:tabs>
          <w:tab w:val="left" w:pos="9072"/>
        </w:tabs>
        <w:spacing w:after="0" w:line="276" w:lineRule="auto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16BBDAFA" w14:textId="77777777" w:rsidR="00A84FEC" w:rsidRDefault="00A84FEC" w:rsidP="002D0C4E">
      <w:pPr>
        <w:spacing w:after="0" w:line="276" w:lineRule="auto"/>
        <w:rPr>
          <w:rFonts w:ascii="Arial Narrow" w:hAnsi="Arial Narrow" w:cs="Arial"/>
          <w:sz w:val="14"/>
          <w:szCs w:val="14"/>
          <w:lang w:val="es-CO"/>
        </w:rPr>
      </w:pPr>
    </w:p>
    <w:p w14:paraId="3460F6AF" w14:textId="06877C65" w:rsidR="00BB2DE5" w:rsidRPr="006734FC" w:rsidRDefault="00BB2DE5" w:rsidP="002D0C4E">
      <w:pPr>
        <w:spacing w:after="0" w:line="276" w:lineRule="auto"/>
        <w:rPr>
          <w:rFonts w:ascii="Arial Narrow" w:hAnsi="Arial Narrow" w:cs="Arial"/>
          <w:sz w:val="14"/>
          <w:szCs w:val="14"/>
          <w:lang w:val="es-CO"/>
        </w:rPr>
      </w:pPr>
      <w:r w:rsidRPr="006734FC">
        <w:rPr>
          <w:rFonts w:ascii="Arial Narrow" w:hAnsi="Arial Narrow" w:cs="Arial"/>
          <w:sz w:val="14"/>
          <w:szCs w:val="14"/>
          <w:lang w:val="es-CO"/>
        </w:rPr>
        <w:t>Proyectó: Clara Eugenia Bruckner – Subdirección de Asuntos Postales</w:t>
      </w:r>
    </w:p>
    <w:p w14:paraId="1214616B" w14:textId="65F4DF39" w:rsidR="00BB2DE5" w:rsidRPr="006734FC" w:rsidRDefault="00BB2DE5" w:rsidP="002D0C4E">
      <w:pPr>
        <w:spacing w:line="276" w:lineRule="auto"/>
        <w:ind w:right="192"/>
        <w:contextualSpacing/>
        <w:rPr>
          <w:rFonts w:ascii="Arial Narrow" w:hAnsi="Arial Narrow" w:cs="Arial"/>
          <w:sz w:val="14"/>
          <w:szCs w:val="14"/>
          <w:lang w:val="es-CO"/>
        </w:rPr>
      </w:pPr>
      <w:r w:rsidRPr="006734FC">
        <w:rPr>
          <w:rFonts w:ascii="Arial Narrow" w:hAnsi="Arial Narrow" w:cs="Arial"/>
          <w:sz w:val="14"/>
          <w:szCs w:val="14"/>
          <w:lang w:val="es-CO"/>
        </w:rPr>
        <w:t xml:space="preserve">                Claudia C. Martínez Becerra- Subdirección de Asuntos Postales </w:t>
      </w:r>
    </w:p>
    <w:p w14:paraId="7CCC1632" w14:textId="57FA6525" w:rsidR="00CC5685" w:rsidRPr="006734FC" w:rsidRDefault="00BB2DE5" w:rsidP="002D0C4E">
      <w:pPr>
        <w:spacing w:after="0" w:line="276" w:lineRule="auto"/>
        <w:rPr>
          <w:rFonts w:ascii="Arial Narrow" w:hAnsi="Arial Narrow" w:cs="Arial"/>
          <w:sz w:val="14"/>
          <w:szCs w:val="14"/>
          <w:lang w:val="es-CO"/>
        </w:rPr>
      </w:pPr>
      <w:r w:rsidRPr="006734FC">
        <w:rPr>
          <w:rFonts w:ascii="Arial Narrow" w:hAnsi="Arial Narrow" w:cs="Arial"/>
          <w:sz w:val="14"/>
          <w:szCs w:val="14"/>
          <w:lang w:val="es-CO"/>
        </w:rPr>
        <w:t xml:space="preserve">Revisó:   </w:t>
      </w:r>
      <w:bookmarkStart w:id="3" w:name="_Hlk106275153"/>
      <w:r w:rsidR="00CC5685" w:rsidRPr="006734FC">
        <w:rPr>
          <w:rFonts w:ascii="Arial Narrow" w:hAnsi="Arial Narrow" w:cs="Arial"/>
          <w:sz w:val="14"/>
          <w:szCs w:val="14"/>
          <w:lang w:val="es-CO"/>
        </w:rPr>
        <w:t xml:space="preserve">Lina Mercedes Beltrán Hernández – Asesora Dirección de Industria de Comunicaciones. </w:t>
      </w:r>
      <w:bookmarkEnd w:id="3"/>
    </w:p>
    <w:p w14:paraId="0F09907B" w14:textId="2CABA04E" w:rsidR="00CC5685" w:rsidRPr="006734FC" w:rsidRDefault="00CC5685" w:rsidP="002D0C4E">
      <w:pPr>
        <w:spacing w:after="0" w:line="276" w:lineRule="auto"/>
        <w:rPr>
          <w:rFonts w:ascii="Arial Narrow" w:hAnsi="Arial Narrow" w:cs="Arial"/>
          <w:sz w:val="14"/>
          <w:szCs w:val="14"/>
          <w:lang w:val="es-CO"/>
        </w:rPr>
      </w:pPr>
      <w:r w:rsidRPr="006734FC">
        <w:rPr>
          <w:rFonts w:ascii="Arial Narrow" w:hAnsi="Arial Narrow" w:cs="Arial"/>
          <w:sz w:val="14"/>
          <w:szCs w:val="14"/>
          <w:lang w:val="es-CO"/>
        </w:rPr>
        <w:t xml:space="preserve">               Diego Andrés Salcedo Monsalve – Despacho Viceministr</w:t>
      </w:r>
      <w:r w:rsidR="00913A19" w:rsidRPr="006734FC">
        <w:rPr>
          <w:rFonts w:ascii="Arial Narrow" w:hAnsi="Arial Narrow" w:cs="Arial"/>
          <w:sz w:val="14"/>
          <w:szCs w:val="14"/>
          <w:lang w:val="es-CO"/>
        </w:rPr>
        <w:t>a</w:t>
      </w:r>
      <w:r w:rsidRPr="006734FC">
        <w:rPr>
          <w:rFonts w:ascii="Arial Narrow" w:hAnsi="Arial Narrow" w:cs="Arial"/>
          <w:sz w:val="14"/>
          <w:szCs w:val="14"/>
          <w:lang w:val="es-CO"/>
        </w:rPr>
        <w:t xml:space="preserve"> de Conectividad.      </w:t>
      </w:r>
    </w:p>
    <w:p w14:paraId="7CF88377" w14:textId="77777777" w:rsidR="00CC5685" w:rsidRPr="006734FC" w:rsidRDefault="00CC5685" w:rsidP="002D0C4E">
      <w:pPr>
        <w:spacing w:after="0" w:line="276" w:lineRule="auto"/>
        <w:rPr>
          <w:rFonts w:ascii="Arial Narrow" w:hAnsi="Arial Narrow" w:cs="Arial"/>
          <w:sz w:val="14"/>
          <w:szCs w:val="14"/>
          <w:lang w:val="es-CO"/>
        </w:rPr>
      </w:pPr>
      <w:r w:rsidRPr="006734FC">
        <w:rPr>
          <w:rFonts w:ascii="Arial Narrow" w:hAnsi="Arial Narrow" w:cs="Arial"/>
          <w:sz w:val="14"/>
          <w:szCs w:val="14"/>
          <w:lang w:val="es-CO"/>
        </w:rPr>
        <w:t xml:space="preserve">               Jairo Luis Marulanda Lazcarro – Subdirector de Asuntos Postales. </w:t>
      </w:r>
    </w:p>
    <w:p w14:paraId="5DE1BD1C" w14:textId="5F054456" w:rsidR="00CC5685" w:rsidRPr="006734FC" w:rsidRDefault="00CC5685" w:rsidP="00DD7ED6">
      <w:pPr>
        <w:spacing w:after="0" w:line="276" w:lineRule="auto"/>
        <w:ind w:left="567" w:hanging="567"/>
        <w:rPr>
          <w:rFonts w:ascii="Arial Narrow" w:hAnsi="Arial Narrow" w:cs="Arial"/>
          <w:sz w:val="14"/>
          <w:szCs w:val="14"/>
          <w:lang w:val="es-CO"/>
        </w:rPr>
      </w:pPr>
      <w:r w:rsidRPr="006734FC">
        <w:rPr>
          <w:rFonts w:ascii="Arial Narrow" w:hAnsi="Arial Narrow" w:cs="Arial"/>
          <w:sz w:val="14"/>
          <w:szCs w:val="14"/>
          <w:lang w:val="es-CO"/>
        </w:rPr>
        <w:t xml:space="preserve">               Geusseppe González Cárdenas- subdirector para la Industria de Comunicaciones encargado de las funciones del Director de Industria de </w:t>
      </w:r>
      <w:r w:rsidR="00890909" w:rsidRPr="006734FC">
        <w:rPr>
          <w:rFonts w:ascii="Arial Narrow" w:hAnsi="Arial Narrow" w:cs="Arial"/>
          <w:sz w:val="14"/>
          <w:szCs w:val="14"/>
          <w:lang w:val="es-CO"/>
        </w:rPr>
        <w:t xml:space="preserve">           </w:t>
      </w:r>
      <w:r w:rsidR="38654F45" w:rsidRPr="006734FC">
        <w:rPr>
          <w:rFonts w:ascii="Arial Narrow" w:hAnsi="Arial Narrow" w:cs="Arial"/>
          <w:sz w:val="14"/>
          <w:szCs w:val="14"/>
          <w:lang w:val="es-CO"/>
        </w:rPr>
        <w:t xml:space="preserve">    </w:t>
      </w:r>
      <w:r w:rsidR="006644B1" w:rsidRPr="006734FC">
        <w:rPr>
          <w:rFonts w:ascii="Arial Narrow" w:hAnsi="Arial Narrow" w:cs="Arial"/>
          <w:sz w:val="14"/>
          <w:szCs w:val="14"/>
          <w:lang w:val="es-CO"/>
        </w:rPr>
        <w:t xml:space="preserve">                                        </w:t>
      </w:r>
      <w:r w:rsidRPr="006734FC">
        <w:rPr>
          <w:rFonts w:ascii="Arial Narrow" w:hAnsi="Arial Narrow" w:cs="Arial"/>
          <w:sz w:val="14"/>
          <w:szCs w:val="14"/>
          <w:lang w:val="es-CO"/>
        </w:rPr>
        <w:t>Comunicaciones</w:t>
      </w:r>
      <w:r w:rsidR="00DD7ED6" w:rsidRPr="006734FC">
        <w:rPr>
          <w:rFonts w:ascii="Arial Narrow" w:hAnsi="Arial Narrow" w:cs="Arial"/>
          <w:sz w:val="14"/>
          <w:szCs w:val="14"/>
          <w:lang w:val="es-CO"/>
        </w:rPr>
        <w:t>.</w:t>
      </w:r>
    </w:p>
    <w:p w14:paraId="537B9D14" w14:textId="530C8024" w:rsidR="00BB2DE5" w:rsidRPr="006734FC" w:rsidRDefault="00CC5685" w:rsidP="002D0C4E">
      <w:pPr>
        <w:spacing w:after="0" w:line="276" w:lineRule="auto"/>
        <w:rPr>
          <w:rFonts w:ascii="Arial Narrow" w:hAnsi="Arial Narrow" w:cs="Calibri Light"/>
          <w:sz w:val="14"/>
          <w:szCs w:val="14"/>
        </w:rPr>
      </w:pPr>
      <w:r w:rsidRPr="006734FC">
        <w:rPr>
          <w:rFonts w:ascii="Arial Narrow" w:hAnsi="Arial Narrow" w:cs="Arial"/>
          <w:sz w:val="14"/>
          <w:szCs w:val="14"/>
          <w:lang w:val="es-CO"/>
        </w:rPr>
        <w:t xml:space="preserve">               </w:t>
      </w:r>
      <w:r w:rsidR="00271290" w:rsidRPr="006734FC">
        <w:rPr>
          <w:rFonts w:ascii="Arial Narrow" w:hAnsi="Arial Narrow" w:cs="Calibri Light"/>
          <w:sz w:val="14"/>
          <w:szCs w:val="14"/>
        </w:rPr>
        <w:t>Mar</w:t>
      </w:r>
      <w:r w:rsidR="00573677" w:rsidRPr="006734FC">
        <w:rPr>
          <w:rFonts w:ascii="Arial Narrow" w:hAnsi="Arial Narrow" w:cs="Calibri Light"/>
          <w:sz w:val="14"/>
          <w:szCs w:val="14"/>
        </w:rPr>
        <w:t>í</w:t>
      </w:r>
      <w:r w:rsidR="00271290" w:rsidRPr="006734FC">
        <w:rPr>
          <w:rFonts w:ascii="Arial Narrow" w:hAnsi="Arial Narrow" w:cs="Calibri Light"/>
          <w:sz w:val="14"/>
          <w:szCs w:val="14"/>
        </w:rPr>
        <w:t>a del Rosario Oviedo Rojas</w:t>
      </w:r>
      <w:r w:rsidR="00EB03C0" w:rsidRPr="006734FC">
        <w:rPr>
          <w:rFonts w:ascii="Arial Narrow" w:hAnsi="Arial Narrow" w:cs="Calibri Light"/>
          <w:sz w:val="14"/>
          <w:szCs w:val="14"/>
        </w:rPr>
        <w:t xml:space="preserve"> </w:t>
      </w:r>
      <w:r w:rsidR="00BB2DE5" w:rsidRPr="006734FC">
        <w:rPr>
          <w:rFonts w:ascii="Arial Narrow" w:hAnsi="Arial Narrow" w:cs="Calibri Light"/>
          <w:sz w:val="14"/>
          <w:szCs w:val="14"/>
        </w:rPr>
        <w:t xml:space="preserve">- Viceministra de Conectividad </w:t>
      </w:r>
    </w:p>
    <w:p w14:paraId="19165907" w14:textId="78C8BD88" w:rsidR="004E060F" w:rsidRPr="006734FC" w:rsidRDefault="00CC5685" w:rsidP="002D0C4E">
      <w:pPr>
        <w:spacing w:after="0" w:line="276" w:lineRule="auto"/>
        <w:rPr>
          <w:rFonts w:ascii="Arial Narrow" w:hAnsi="Arial Narrow" w:cs="Arial"/>
          <w:sz w:val="14"/>
          <w:szCs w:val="14"/>
        </w:rPr>
      </w:pPr>
      <w:r w:rsidRPr="006734FC">
        <w:rPr>
          <w:rFonts w:ascii="Arial Narrow" w:hAnsi="Arial Narrow" w:cs="Arial"/>
          <w:sz w:val="14"/>
          <w:szCs w:val="14"/>
          <w:lang w:val="es-CO"/>
        </w:rPr>
        <w:t xml:space="preserve">               </w:t>
      </w:r>
      <w:r w:rsidR="00271290" w:rsidRPr="006734FC">
        <w:rPr>
          <w:rFonts w:ascii="Arial Narrow" w:hAnsi="Arial Narrow" w:cs="Arial"/>
          <w:sz w:val="14"/>
          <w:szCs w:val="14"/>
          <w:lang w:val="es-CO"/>
        </w:rPr>
        <w:t xml:space="preserve">Simón </w:t>
      </w:r>
      <w:r w:rsidR="00A839D9" w:rsidRPr="006734FC">
        <w:rPr>
          <w:rFonts w:ascii="Arial Narrow" w:hAnsi="Arial Narrow" w:cs="Arial"/>
          <w:sz w:val="14"/>
          <w:szCs w:val="14"/>
          <w:lang w:val="es-CO"/>
        </w:rPr>
        <w:t>Rodríguez</w:t>
      </w:r>
      <w:r w:rsidR="00271290" w:rsidRPr="006734FC">
        <w:rPr>
          <w:rFonts w:ascii="Arial Narrow" w:hAnsi="Arial Narrow" w:cs="Arial"/>
          <w:sz w:val="14"/>
          <w:szCs w:val="14"/>
          <w:lang w:val="es-CO"/>
        </w:rPr>
        <w:t xml:space="preserve"> Serna</w:t>
      </w:r>
      <w:r w:rsidR="00BB2DE5" w:rsidRPr="006734FC">
        <w:rPr>
          <w:rFonts w:ascii="Arial Narrow" w:hAnsi="Arial Narrow" w:cs="Arial"/>
          <w:sz w:val="14"/>
          <w:szCs w:val="14"/>
          <w:lang w:val="es-CO"/>
        </w:rPr>
        <w:t xml:space="preserve"> - Director Jurídico</w:t>
      </w:r>
      <w:r w:rsidRPr="006734FC">
        <w:rPr>
          <w:rFonts w:ascii="Arial Narrow" w:hAnsi="Arial Narrow" w:cs="Arial"/>
          <w:sz w:val="14"/>
          <w:szCs w:val="14"/>
          <w:lang w:val="es-CO"/>
        </w:rPr>
        <w:t xml:space="preserve">              </w:t>
      </w:r>
    </w:p>
    <w:sectPr w:rsidR="004E060F" w:rsidRPr="006734FC" w:rsidSect="004C5998">
      <w:headerReference w:type="default" r:id="rId12"/>
      <w:footerReference w:type="default" r:id="rId13"/>
      <w:headerReference w:type="first" r:id="rId14"/>
      <w:footerReference w:type="first" r:id="rId15"/>
      <w:pgSz w:w="12242" w:h="18722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1295" w14:textId="77777777" w:rsidR="0044287D" w:rsidRDefault="0044287D">
      <w:r>
        <w:separator/>
      </w:r>
    </w:p>
  </w:endnote>
  <w:endnote w:type="continuationSeparator" w:id="0">
    <w:p w14:paraId="5DE7507C" w14:textId="77777777" w:rsidR="0044287D" w:rsidRDefault="0044287D">
      <w:r>
        <w:continuationSeparator/>
      </w:r>
    </w:p>
  </w:endnote>
  <w:endnote w:type="continuationNotice" w:id="1">
    <w:p w14:paraId="51B54F76" w14:textId="77777777" w:rsidR="0044287D" w:rsidRDefault="004428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7A0E" w14:textId="77777777" w:rsidR="00E64F39" w:rsidRDefault="00E64F3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5F75D74" wp14:editId="3DC90342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AC636" w14:textId="77777777" w:rsidR="00E64F39" w:rsidRPr="00F72DC2" w:rsidRDefault="00E64F39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16</w:t>
                          </w:r>
                        </w:p>
                        <w:p w14:paraId="5EC2D018" w14:textId="68711D40" w:rsidR="00E64F39" w:rsidRPr="00F72DC2" w:rsidRDefault="00E64F39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2</w:t>
                          </w: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75D7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92.7pt;margin-top:11.85pt;width:71.35pt;height:36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" strokecolor="white">
              <v:textbox>
                <w:txbxContent>
                  <w:p w14:paraId="19EAC636" w14:textId="77777777" w:rsidR="00E64F39" w:rsidRPr="00F72DC2" w:rsidRDefault="00E64F39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16</w:t>
                    </w:r>
                  </w:p>
                  <w:p w14:paraId="5EC2D018" w14:textId="68711D40" w:rsidR="00E64F39" w:rsidRPr="00F72DC2" w:rsidRDefault="00E64F39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2</w:t>
                    </w: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.0</w:t>
                    </w:r>
                  </w:p>
                </w:txbxContent>
              </v:textbox>
            </v:shape>
          </w:pict>
        </mc:Fallback>
      </mc:AlternateContent>
    </w:r>
  </w:p>
  <w:p w14:paraId="0C9D1965" w14:textId="77777777" w:rsidR="00E64F39" w:rsidRPr="00335ACB" w:rsidRDefault="00E64F3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2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2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01E3F4E9" w14:textId="77777777" w:rsidR="00E64F39" w:rsidRDefault="00E64F39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2137517C" w14:textId="77777777" w:rsidR="00E64F39" w:rsidRDefault="00E64F39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7685" w14:textId="77777777" w:rsidR="00E64F39" w:rsidRDefault="00E64F3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5AD1F7" wp14:editId="5C35E04D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85993" w14:textId="77777777" w:rsidR="00E64F39" w:rsidRPr="00F72DC2" w:rsidRDefault="00E64F39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16</w:t>
                          </w:r>
                        </w:p>
                        <w:p w14:paraId="50812CA6" w14:textId="3173D9C0" w:rsidR="00E64F39" w:rsidRPr="00F72DC2" w:rsidRDefault="00E64F39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2</w:t>
                          </w: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AD1F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392.7pt;margin-top:11.85pt;width:71.35pt;height:36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" strokecolor="white">
              <v:textbox>
                <w:txbxContent>
                  <w:p w14:paraId="37A85993" w14:textId="77777777" w:rsidR="00E64F39" w:rsidRPr="00F72DC2" w:rsidRDefault="00E64F39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16</w:t>
                    </w:r>
                  </w:p>
                  <w:p w14:paraId="50812CA6" w14:textId="3173D9C0" w:rsidR="00E64F39" w:rsidRPr="00F72DC2" w:rsidRDefault="00E64F39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2</w:t>
                    </w: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.0</w:t>
                    </w:r>
                  </w:p>
                </w:txbxContent>
              </v:textbox>
            </v:shape>
          </w:pict>
        </mc:Fallback>
      </mc:AlternateContent>
    </w:r>
  </w:p>
  <w:p w14:paraId="42129CA4" w14:textId="77777777" w:rsidR="00E64F39" w:rsidRPr="00335ACB" w:rsidRDefault="00E64F3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2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5F100EA0" w14:textId="77777777" w:rsidR="00E64F39" w:rsidRDefault="00E64F39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060E022B" w14:textId="77777777" w:rsidR="00E64F39" w:rsidRDefault="00E64F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2752" w14:textId="77777777" w:rsidR="0044287D" w:rsidRDefault="0044287D">
      <w:r>
        <w:separator/>
      </w:r>
    </w:p>
  </w:footnote>
  <w:footnote w:type="continuationSeparator" w:id="0">
    <w:p w14:paraId="4ED19E08" w14:textId="77777777" w:rsidR="0044287D" w:rsidRDefault="0044287D">
      <w:r>
        <w:continuationSeparator/>
      </w:r>
    </w:p>
  </w:footnote>
  <w:footnote w:type="continuationNotice" w:id="1">
    <w:p w14:paraId="0D1E45DA" w14:textId="77777777" w:rsidR="0044287D" w:rsidRDefault="0044287D">
      <w:pPr>
        <w:spacing w:after="0"/>
      </w:pPr>
    </w:p>
  </w:footnote>
  <w:footnote w:id="2">
    <w:p w14:paraId="4B8A1FF1" w14:textId="38DBEF18" w:rsidR="00574079" w:rsidRPr="00574079" w:rsidRDefault="00574079">
      <w:pPr>
        <w:pStyle w:val="Textonotapie"/>
        <w:rPr>
          <w:rFonts w:ascii="Arial Narrow" w:hAnsi="Arial Narrow"/>
          <w:sz w:val="16"/>
          <w:szCs w:val="16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74079">
        <w:rPr>
          <w:rFonts w:ascii="Arial Narrow" w:hAnsi="Arial Narrow"/>
          <w:i/>
          <w:iCs/>
          <w:sz w:val="16"/>
          <w:szCs w:val="16"/>
        </w:rPr>
        <w:t>Memorando y ley aprobatoria declarados EXEQUIBLES por la Corte Constitucional mediante Sentencia C-685-09 de 30 de septiembre de 2009, Magistrado Ponente Dr. Luis Ernesto Vargas Silva</w:t>
      </w:r>
      <w:r w:rsidRPr="00574079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DEE5" w14:textId="77777777" w:rsidR="00E64F39" w:rsidRDefault="00E64F39">
    <w:pPr>
      <w:pStyle w:val="Encabezado"/>
      <w:widowControl/>
      <w:rPr>
        <w:sz w:val="20"/>
      </w:rPr>
    </w:pPr>
  </w:p>
  <w:p w14:paraId="6515BD8C" w14:textId="77777777" w:rsidR="00E64F39" w:rsidRDefault="00E64F39">
    <w:pPr>
      <w:pStyle w:val="Encabezado"/>
      <w:widowControl/>
      <w:rPr>
        <w:sz w:val="20"/>
      </w:rPr>
    </w:pPr>
  </w:p>
  <w:p w14:paraId="0E159335" w14:textId="180FB03E" w:rsidR="00E64F39" w:rsidRPr="008E53AD" w:rsidRDefault="00E64F39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NUMERO ____________ DE </w:t>
    </w:r>
    <w:r>
      <w:rPr>
        <w:rFonts w:cs="Arial"/>
        <w:sz w:val="18"/>
      </w:rPr>
      <w:t>Dia XX Mes XX Año</w:t>
    </w:r>
    <w:r w:rsidRPr="008E53AD">
      <w:rPr>
        <w:rFonts w:cs="Arial"/>
        <w:sz w:val="18"/>
      </w:rPr>
      <w:t xml:space="preserve"> 20</w:t>
    </w:r>
    <w:r>
      <w:rPr>
        <w:rFonts w:cs="Arial"/>
        <w:sz w:val="18"/>
      </w:rPr>
      <w:t>XX</w:t>
    </w:r>
    <w:r w:rsidRPr="008E53AD">
      <w:rPr>
        <w:rFonts w:cs="Arial"/>
        <w:sz w:val="18"/>
      </w:rPr>
      <w:t>_</w:t>
    </w:r>
    <w:proofErr w:type="gramStart"/>
    <w:r w:rsidRPr="008E53AD">
      <w:rPr>
        <w:rFonts w:cs="Arial"/>
        <w:sz w:val="18"/>
      </w:rPr>
      <w:t>_  HOJA</w:t>
    </w:r>
    <w:proofErr w:type="gramEnd"/>
    <w:r w:rsidRPr="008E53AD">
      <w:rPr>
        <w:rFonts w:cs="Arial"/>
        <w:sz w:val="18"/>
      </w:rPr>
      <w:t xml:space="preserve">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PAGE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>
      <w:rPr>
        <w:rStyle w:val="Nmerodepgina"/>
        <w:rFonts w:cs="Arial"/>
        <w:noProof/>
        <w:sz w:val="18"/>
        <w:u w:val="single"/>
      </w:rPr>
      <w:t>2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6CBD0895" w14:textId="77777777" w:rsidR="00E64F39" w:rsidRDefault="00E64F39">
    <w:pPr>
      <w:pStyle w:val="Encabezado"/>
      <w:widowControl/>
      <w:rPr>
        <w:sz w:val="20"/>
      </w:rPr>
    </w:pPr>
  </w:p>
  <w:p w14:paraId="2AFF1C0A" w14:textId="77777777" w:rsidR="00E64F39" w:rsidRDefault="00E64F39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  <w:r>
      <w:rPr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6719F6EA" wp14:editId="429D06F3">
              <wp:simplePos x="0" y="0"/>
              <wp:positionH relativeFrom="column">
                <wp:posOffset>-372745</wp:posOffset>
              </wp:positionH>
              <wp:positionV relativeFrom="paragraph">
                <wp:posOffset>26670</wp:posOffset>
              </wp:positionV>
              <wp:extent cx="6432550" cy="9896475"/>
              <wp:effectExtent l="19050" t="19050" r="25400" b="2857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626166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78F96ECD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28F350CA" w14:textId="77777777" w:rsidR="00E64F39" w:rsidRDefault="00E64F39" w:rsidP="00747FBE">
                          <w:pPr>
                            <w:rPr>
                              <w:lang w:val="es-CO"/>
                            </w:rPr>
                          </w:pPr>
                        </w:p>
                        <w:p w14:paraId="5714EAAA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125294EF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756D6383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1F361D76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0F08927B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279C0868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702F4280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0F4B7DDD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49E72B0D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6AD604C8" w14:textId="77777777" w:rsidR="00E64F39" w:rsidRDefault="00E64F39" w:rsidP="00F34E5A">
                          <w:pPr>
                            <w:jc w:val="center"/>
                            <w:rPr>
                              <w:lang w:val="es-CO"/>
                            </w:rPr>
                          </w:pPr>
                        </w:p>
                        <w:p w14:paraId="02D65B72" w14:textId="7DC8E998" w:rsidR="00E64F39" w:rsidRPr="00F34E5A" w:rsidRDefault="00E64F39" w:rsidP="00F34E5A">
                          <w:pPr>
                            <w:jc w:val="center"/>
                            <w:rPr>
                              <w:sz w:val="18"/>
                              <w:szCs w:val="18"/>
                              <w:lang w:val="es-CO"/>
                            </w:rPr>
                          </w:pPr>
                          <w:r w:rsidRPr="00F34E5A">
                            <w:rPr>
                              <w:sz w:val="18"/>
                              <w:szCs w:val="18"/>
                              <w:lang w:val="es-CO"/>
                            </w:rPr>
                            <w:t>Dia XX Mes XX Año 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19F6EA" id="Rectangle 3" o:spid="_x0000_s1026" style="position:absolute;left:0;text-align:left;margin-left:-29.35pt;margin-top:2.1pt;width:506.5pt;height:779.2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" o:allowincell="f" strokeweight="3.5pt">
              <v:textbox>
                <w:txbxContent>
                  <w:p w14:paraId="10626166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78F96ECD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28F350CA" w14:textId="77777777" w:rsidR="00E64F39" w:rsidRDefault="00E64F39" w:rsidP="00747FBE">
                    <w:pPr>
                      <w:rPr>
                        <w:lang w:val="es-CO"/>
                      </w:rPr>
                    </w:pPr>
                  </w:p>
                  <w:p w14:paraId="5714EAAA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125294EF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756D6383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1F361D76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0F08927B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279C0868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702F4280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0F4B7DDD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49E72B0D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6AD604C8" w14:textId="77777777" w:rsidR="00E64F39" w:rsidRDefault="00E64F39" w:rsidP="00F34E5A">
                    <w:pPr>
                      <w:jc w:val="center"/>
                      <w:rPr>
                        <w:lang w:val="es-CO"/>
                      </w:rPr>
                    </w:pPr>
                  </w:p>
                  <w:p w14:paraId="02D65B72" w14:textId="7DC8E998" w:rsidR="00E64F39" w:rsidRPr="00F34E5A" w:rsidRDefault="00E64F39" w:rsidP="00F34E5A">
                    <w:pPr>
                      <w:jc w:val="center"/>
                      <w:rPr>
                        <w:sz w:val="18"/>
                        <w:szCs w:val="18"/>
                        <w:lang w:val="es-CO"/>
                      </w:rPr>
                    </w:pPr>
                    <w:r w:rsidRPr="00F34E5A">
                      <w:rPr>
                        <w:sz w:val="18"/>
                        <w:szCs w:val="18"/>
                        <w:lang w:val="es-CO"/>
                      </w:rPr>
                      <w:t>Dia XX Mes XX Año XXXX</w:t>
                    </w:r>
                  </w:p>
                </w:txbxContent>
              </v:textbox>
            </v:rect>
          </w:pict>
        </mc:Fallback>
      </mc:AlternateContent>
    </w:r>
  </w:p>
  <w:p w14:paraId="17E3724B" w14:textId="77777777" w:rsidR="00E64F39" w:rsidRDefault="00E64F39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7A08959B" w14:textId="78735518" w:rsidR="00041AB7" w:rsidRPr="008F3DF9" w:rsidRDefault="00747FBE" w:rsidP="00041AB7">
    <w:pPr>
      <w:spacing w:line="276" w:lineRule="auto"/>
      <w:jc w:val="center"/>
      <w:rPr>
        <w:rFonts w:ascii="Arial Narrow" w:hAnsi="Arial Narrow" w:cs="Arial"/>
        <w:i/>
        <w:iCs/>
        <w:sz w:val="22"/>
        <w:szCs w:val="22"/>
      </w:rPr>
    </w:pPr>
    <w:r w:rsidRPr="002D0C4E">
      <w:rPr>
        <w:rFonts w:ascii="Arial Narrow" w:hAnsi="Arial Narrow" w:cs="Arial"/>
        <w:i/>
        <w:iCs/>
        <w:sz w:val="22"/>
        <w:szCs w:val="22"/>
      </w:rPr>
      <w:t>“Por la cual se modifica</w:t>
    </w:r>
    <w:r>
      <w:rPr>
        <w:rFonts w:ascii="Arial Narrow" w:hAnsi="Arial Narrow" w:cs="Arial"/>
        <w:i/>
        <w:iCs/>
        <w:sz w:val="22"/>
        <w:szCs w:val="22"/>
      </w:rPr>
      <w:t>n los artículos 3, 6</w:t>
    </w:r>
    <w:r w:rsidRPr="002D0C4E">
      <w:rPr>
        <w:rFonts w:ascii="Arial Narrow" w:hAnsi="Arial Narrow" w:cs="Arial"/>
        <w:i/>
        <w:iCs/>
        <w:sz w:val="22"/>
        <w:szCs w:val="22"/>
      </w:rPr>
      <w:t xml:space="preserve"> </w:t>
    </w:r>
    <w:r>
      <w:rPr>
        <w:rFonts w:ascii="Arial Narrow" w:hAnsi="Arial Narrow" w:cs="Arial"/>
        <w:i/>
        <w:iCs/>
        <w:sz w:val="22"/>
        <w:szCs w:val="22"/>
      </w:rPr>
      <w:t xml:space="preserve">y </w:t>
    </w:r>
    <w:r w:rsidRPr="002D0C4E">
      <w:rPr>
        <w:rFonts w:ascii="Arial Narrow" w:hAnsi="Arial Narrow" w:cs="Arial"/>
        <w:i/>
        <w:iCs/>
        <w:sz w:val="22"/>
        <w:szCs w:val="22"/>
      </w:rPr>
      <w:t>10 de la Resolución 1292 de</w:t>
    </w:r>
    <w:r>
      <w:rPr>
        <w:rFonts w:ascii="Arial Narrow" w:hAnsi="Arial Narrow" w:cs="Arial"/>
        <w:i/>
        <w:iCs/>
        <w:sz w:val="22"/>
        <w:szCs w:val="22"/>
      </w:rPr>
      <w:t>l 31 de mayo de 2021”</w:t>
    </w:r>
  </w:p>
  <w:p w14:paraId="6F3063A7" w14:textId="77777777" w:rsidR="00A70967" w:rsidRPr="00C444AC" w:rsidRDefault="00A70967" w:rsidP="00C444AC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3CCD" w14:textId="1615B75A" w:rsidR="00E64F39" w:rsidRDefault="00E64F39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sz w:val="18"/>
      </w:rPr>
      <w:t xml:space="preserve"> </w:t>
    </w:r>
  </w:p>
  <w:p w14:paraId="43057012" w14:textId="77777777" w:rsidR="00E64F39" w:rsidRDefault="00E64F39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42A93616" w14:textId="77777777" w:rsidR="00E64F39" w:rsidRPr="008E53AD" w:rsidRDefault="00E64F39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38EC5D4" wp14:editId="77484176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15085" cy="1299210"/>
              <wp:effectExtent l="7620" t="12065" r="6985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79527" w14:textId="77777777" w:rsidR="00E64F39" w:rsidRDefault="00E64F39">
                          <w:r w:rsidRPr="00AE04D9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205A0DB" wp14:editId="3CF8DA16">
                                <wp:extent cx="1120140" cy="1120140"/>
                                <wp:effectExtent l="0" t="0" r="0" b="0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0140" cy="1120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EC5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81.35pt;margin-top:-6.55pt;width:103.55pt;height:102.3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" strokecolor="white">
              <v:textbox style="mso-fit-shape-to-text:t">
                <w:txbxContent>
                  <w:p w14:paraId="4EB79527" w14:textId="77777777" w:rsidR="00E64F39" w:rsidRDefault="00E64F39">
                    <w:r w:rsidRPr="00AE04D9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205A0DB" wp14:editId="3CF8DA16">
                          <wp:extent cx="1120140" cy="1120140"/>
                          <wp:effectExtent l="0" t="0" r="0" b="0"/>
                          <wp:docPr id="1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0140" cy="1120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E53AD"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A0437D7" wp14:editId="7EDF0333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3175" r="3810" b="6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B92B2" id="Rectangle 2" o:spid="_x0000_s1026" style="position:absolute;margin-left:181.35pt;margin-top:7.75pt;width:93.6pt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EV6wIAADE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" o:allowincell="f" stroked="f" strokeweight="0"/>
          </w:pict>
        </mc:Fallback>
      </mc:AlternateContent>
    </w:r>
  </w:p>
  <w:p w14:paraId="708CB1C5" w14:textId="77777777" w:rsidR="00E64F39" w:rsidRPr="008E53AD" w:rsidRDefault="00E64F39">
    <w:pPr>
      <w:pStyle w:val="Encabezado"/>
      <w:widowControl/>
      <w:jc w:val="center"/>
      <w:rPr>
        <w:rFonts w:cs="Arial"/>
        <w:sz w:val="18"/>
      </w:rPr>
    </w:pPr>
  </w:p>
  <w:p w14:paraId="608CD337" w14:textId="77777777" w:rsidR="00E64F39" w:rsidRPr="008E53AD" w:rsidRDefault="00E64F39">
    <w:pPr>
      <w:pStyle w:val="Encabezado"/>
      <w:widowControl/>
      <w:jc w:val="center"/>
      <w:rPr>
        <w:rFonts w:cs="Arial"/>
        <w:sz w:val="16"/>
      </w:rPr>
    </w:pPr>
    <w:r w:rsidRPr="008E53AD">
      <w:rPr>
        <w:rFonts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C8AC266" wp14:editId="02509B19">
              <wp:simplePos x="0" y="0"/>
              <wp:positionH relativeFrom="column">
                <wp:posOffset>-441960</wp:posOffset>
              </wp:positionH>
              <wp:positionV relativeFrom="paragraph">
                <wp:posOffset>69850</wp:posOffset>
              </wp:positionV>
              <wp:extent cx="6435725" cy="9897745"/>
              <wp:effectExtent l="24765" t="22225" r="26035" b="241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25474" id="Rectangle 1" o:spid="_x0000_s1026" style="position:absolute;margin-left:-34.8pt;margin-top:5.5pt;width:506.75pt;height:77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" o:allowincell="f" strokeweight="3.5pt"/>
          </w:pict>
        </mc:Fallback>
      </mc:AlternateContent>
    </w:r>
  </w:p>
  <w:p w14:paraId="158FE08A" w14:textId="77777777" w:rsidR="00E64F39" w:rsidRPr="008E53AD" w:rsidRDefault="00E64F39">
    <w:pPr>
      <w:pStyle w:val="Encabezado"/>
      <w:widowControl/>
      <w:jc w:val="center"/>
      <w:rPr>
        <w:rFonts w:cs="Arial"/>
        <w:sz w:val="16"/>
      </w:rPr>
    </w:pPr>
  </w:p>
  <w:p w14:paraId="4BA5D5C4" w14:textId="77777777" w:rsidR="00E64F39" w:rsidRDefault="00E64F39">
    <w:pPr>
      <w:pStyle w:val="Encabezado"/>
      <w:widowControl/>
      <w:jc w:val="center"/>
      <w:rPr>
        <w:rFonts w:cs="Arial"/>
        <w:b/>
        <w:sz w:val="22"/>
      </w:rPr>
    </w:pPr>
  </w:p>
  <w:p w14:paraId="34068C8E" w14:textId="77777777" w:rsidR="00E64F39" w:rsidRDefault="00E64F39" w:rsidP="00CF21CB">
    <w:pPr>
      <w:pStyle w:val="Encabezado"/>
      <w:widowControl/>
      <w:jc w:val="right"/>
      <w:rPr>
        <w:rFonts w:cs="Arial"/>
        <w:b/>
        <w:sz w:val="22"/>
      </w:rPr>
    </w:pPr>
  </w:p>
  <w:p w14:paraId="400C4516" w14:textId="77777777" w:rsidR="00E64F39" w:rsidRPr="00377E26" w:rsidRDefault="00E64F39" w:rsidP="00377E26">
    <w:pPr>
      <w:pStyle w:val="Encabezado"/>
      <w:widowControl/>
      <w:jc w:val="center"/>
      <w:rPr>
        <w:rFonts w:cs="Arial"/>
        <w:b/>
        <w:sz w:val="22"/>
      </w:rPr>
    </w:pPr>
    <w:r w:rsidRPr="00377E26">
      <w:rPr>
        <w:rFonts w:cs="Arial"/>
        <w:b/>
        <w:sz w:val="22"/>
      </w:rPr>
      <w:t xml:space="preserve">MINISTERIO DE TECNOLOGÍAS DE LA INFORMACIÓN Y LAS </w:t>
    </w:r>
  </w:p>
  <w:p w14:paraId="2C0F7165" w14:textId="65FCC2A2" w:rsidR="00E64F39" w:rsidRDefault="00E64F39" w:rsidP="00377E26">
    <w:pPr>
      <w:pStyle w:val="Encabezado"/>
      <w:widowControl/>
      <w:jc w:val="center"/>
      <w:rPr>
        <w:rFonts w:cs="Arial"/>
        <w:b/>
        <w:sz w:val="22"/>
      </w:rPr>
    </w:pPr>
    <w:r w:rsidRPr="00377E26">
      <w:rPr>
        <w:rFonts w:cs="Arial"/>
        <w:b/>
        <w:sz w:val="22"/>
      </w:rPr>
      <w:t>COMUNICACIONES</w:t>
    </w:r>
  </w:p>
  <w:p w14:paraId="2CC3A808" w14:textId="77777777" w:rsidR="00E64F39" w:rsidRPr="008E53AD" w:rsidRDefault="00E64F39" w:rsidP="00377E26">
    <w:pPr>
      <w:pStyle w:val="Encabezado"/>
      <w:widowControl/>
      <w:jc w:val="center"/>
      <w:rPr>
        <w:rFonts w:cs="Arial"/>
        <w:sz w:val="22"/>
      </w:rPr>
    </w:pPr>
  </w:p>
  <w:p w14:paraId="657203EB" w14:textId="09240CC2" w:rsidR="00E64F39" w:rsidRDefault="00E64F39">
    <w:pPr>
      <w:pStyle w:val="Encabezado"/>
      <w:widowControl/>
      <w:jc w:val="center"/>
      <w:rPr>
        <w:rFonts w:ascii="Tahoma" w:hAnsi="Tahoma"/>
        <w:sz w:val="20"/>
      </w:rPr>
    </w:pPr>
    <w:proofErr w:type="gramStart"/>
    <w:r w:rsidRPr="008E53AD">
      <w:rPr>
        <w:rFonts w:cs="Arial"/>
        <w:sz w:val="22"/>
      </w:rPr>
      <w:t>RESOLUCIÓN  NÚMERO</w:t>
    </w:r>
    <w:proofErr w:type="gramEnd"/>
    <w:r>
      <w:rPr>
        <w:rFonts w:cs="Arial"/>
        <w:sz w:val="22"/>
      </w:rPr>
      <w:t xml:space="preserve">                                DE  Dia XX Mes XX Año 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6329"/>
    <w:multiLevelType w:val="hybridMultilevel"/>
    <w:tmpl w:val="D102EA8C"/>
    <w:lvl w:ilvl="0" w:tplc="1ED08672">
      <w:start w:val="1"/>
      <w:numFmt w:val="bullet"/>
      <w:lvlText w:val="-"/>
      <w:lvlJc w:val="left"/>
      <w:pPr>
        <w:ind w:left="1647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0FB4750"/>
    <w:multiLevelType w:val="hybridMultilevel"/>
    <w:tmpl w:val="0958CC40"/>
    <w:lvl w:ilvl="0" w:tplc="B8F4E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E589E"/>
    <w:multiLevelType w:val="hybridMultilevel"/>
    <w:tmpl w:val="DE18CE2C"/>
    <w:lvl w:ilvl="0" w:tplc="240A0017">
      <w:start w:val="1"/>
      <w:numFmt w:val="lowerLetter"/>
      <w:lvlText w:val="%1)"/>
      <w:lvlJc w:val="left"/>
      <w:pPr>
        <w:ind w:left="1571" w:hanging="360"/>
      </w:pPr>
    </w:lvl>
    <w:lvl w:ilvl="1" w:tplc="240A0019">
      <w:start w:val="1"/>
      <w:numFmt w:val="lowerLetter"/>
      <w:lvlText w:val="%2."/>
      <w:lvlJc w:val="left"/>
      <w:pPr>
        <w:ind w:left="2291" w:hanging="360"/>
      </w:pPr>
    </w:lvl>
    <w:lvl w:ilvl="2" w:tplc="240A001B" w:tentative="1">
      <w:start w:val="1"/>
      <w:numFmt w:val="lowerRoman"/>
      <w:lvlText w:val="%3."/>
      <w:lvlJc w:val="right"/>
      <w:pPr>
        <w:ind w:left="3011" w:hanging="180"/>
      </w:pPr>
    </w:lvl>
    <w:lvl w:ilvl="3" w:tplc="240A000F" w:tentative="1">
      <w:start w:val="1"/>
      <w:numFmt w:val="decimal"/>
      <w:lvlText w:val="%4."/>
      <w:lvlJc w:val="left"/>
      <w:pPr>
        <w:ind w:left="3731" w:hanging="360"/>
      </w:pPr>
    </w:lvl>
    <w:lvl w:ilvl="4" w:tplc="240A0019" w:tentative="1">
      <w:start w:val="1"/>
      <w:numFmt w:val="lowerLetter"/>
      <w:lvlText w:val="%5."/>
      <w:lvlJc w:val="left"/>
      <w:pPr>
        <w:ind w:left="4451" w:hanging="360"/>
      </w:pPr>
    </w:lvl>
    <w:lvl w:ilvl="5" w:tplc="240A001B" w:tentative="1">
      <w:start w:val="1"/>
      <w:numFmt w:val="lowerRoman"/>
      <w:lvlText w:val="%6."/>
      <w:lvlJc w:val="right"/>
      <w:pPr>
        <w:ind w:left="5171" w:hanging="180"/>
      </w:pPr>
    </w:lvl>
    <w:lvl w:ilvl="6" w:tplc="240A000F" w:tentative="1">
      <w:start w:val="1"/>
      <w:numFmt w:val="decimal"/>
      <w:lvlText w:val="%7."/>
      <w:lvlJc w:val="left"/>
      <w:pPr>
        <w:ind w:left="5891" w:hanging="360"/>
      </w:pPr>
    </w:lvl>
    <w:lvl w:ilvl="7" w:tplc="240A0019" w:tentative="1">
      <w:start w:val="1"/>
      <w:numFmt w:val="lowerLetter"/>
      <w:lvlText w:val="%8."/>
      <w:lvlJc w:val="left"/>
      <w:pPr>
        <w:ind w:left="6611" w:hanging="360"/>
      </w:pPr>
    </w:lvl>
    <w:lvl w:ilvl="8" w:tplc="2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C2923"/>
    <w:multiLevelType w:val="hybridMultilevel"/>
    <w:tmpl w:val="B4F6D45A"/>
    <w:lvl w:ilvl="0" w:tplc="D6121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F0391A"/>
    <w:multiLevelType w:val="hybridMultilevel"/>
    <w:tmpl w:val="4712FCF2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1023F"/>
    <w:multiLevelType w:val="hybridMultilevel"/>
    <w:tmpl w:val="90C0A756"/>
    <w:lvl w:ilvl="0" w:tplc="1ED08672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7F0703"/>
    <w:multiLevelType w:val="hybridMultilevel"/>
    <w:tmpl w:val="DB84F470"/>
    <w:lvl w:ilvl="0" w:tplc="2B7EFC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A76EEA"/>
    <w:multiLevelType w:val="hybridMultilevel"/>
    <w:tmpl w:val="C74E898A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7E6791"/>
    <w:multiLevelType w:val="hybridMultilevel"/>
    <w:tmpl w:val="C6CACB0A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A95D30"/>
    <w:multiLevelType w:val="hybridMultilevel"/>
    <w:tmpl w:val="89841C16"/>
    <w:lvl w:ilvl="0" w:tplc="240A0017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0" w15:restartNumberingAfterBreak="0">
    <w:nsid w:val="0E8D7BFE"/>
    <w:multiLevelType w:val="hybridMultilevel"/>
    <w:tmpl w:val="315E56CA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3C74F5"/>
    <w:multiLevelType w:val="hybridMultilevel"/>
    <w:tmpl w:val="4934A738"/>
    <w:lvl w:ilvl="0" w:tplc="240A0017">
      <w:start w:val="1"/>
      <w:numFmt w:val="lowerLetter"/>
      <w:lvlText w:val="%1)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170439"/>
    <w:multiLevelType w:val="hybridMultilevel"/>
    <w:tmpl w:val="BB18012A"/>
    <w:lvl w:ilvl="0" w:tplc="240A0011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3" w15:restartNumberingAfterBreak="0">
    <w:nsid w:val="19150070"/>
    <w:multiLevelType w:val="multilevel"/>
    <w:tmpl w:val="CA8250B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1DB84961"/>
    <w:multiLevelType w:val="hybridMultilevel"/>
    <w:tmpl w:val="B3CE69D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0170"/>
    <w:multiLevelType w:val="hybridMultilevel"/>
    <w:tmpl w:val="1F2EAAD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714872"/>
    <w:multiLevelType w:val="hybridMultilevel"/>
    <w:tmpl w:val="DF0C4B5C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BE23E28"/>
    <w:multiLevelType w:val="hybridMultilevel"/>
    <w:tmpl w:val="7A88285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E8E2E64"/>
    <w:multiLevelType w:val="hybridMultilevel"/>
    <w:tmpl w:val="108AFF76"/>
    <w:lvl w:ilvl="0" w:tplc="2F16A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47B75"/>
    <w:multiLevelType w:val="hybridMultilevel"/>
    <w:tmpl w:val="D4D21DAE"/>
    <w:lvl w:ilvl="0" w:tplc="388228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DA47B4"/>
    <w:multiLevelType w:val="hybridMultilevel"/>
    <w:tmpl w:val="36282BE6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69956A9"/>
    <w:multiLevelType w:val="hybridMultilevel"/>
    <w:tmpl w:val="9084ADE0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4D129C"/>
    <w:multiLevelType w:val="hybridMultilevel"/>
    <w:tmpl w:val="B70E037C"/>
    <w:lvl w:ilvl="0" w:tplc="208601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8E09A8"/>
    <w:multiLevelType w:val="hybridMultilevel"/>
    <w:tmpl w:val="56CC39C4"/>
    <w:lvl w:ilvl="0" w:tplc="2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18383E"/>
    <w:multiLevelType w:val="hybridMultilevel"/>
    <w:tmpl w:val="B4B4EAE2"/>
    <w:lvl w:ilvl="0" w:tplc="24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59B1071"/>
    <w:multiLevelType w:val="hybridMultilevel"/>
    <w:tmpl w:val="EFB81C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B14E9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C6BED"/>
    <w:multiLevelType w:val="hybridMultilevel"/>
    <w:tmpl w:val="879CCEAA"/>
    <w:lvl w:ilvl="0" w:tplc="240A0017">
      <w:start w:val="1"/>
      <w:numFmt w:val="lowerLetter"/>
      <w:lvlText w:val="%1)"/>
      <w:lvlJc w:val="left"/>
      <w:pPr>
        <w:ind w:left="1571" w:hanging="360"/>
      </w:pPr>
    </w:lvl>
    <w:lvl w:ilvl="1" w:tplc="240A0019" w:tentative="1">
      <w:start w:val="1"/>
      <w:numFmt w:val="lowerLetter"/>
      <w:lvlText w:val="%2."/>
      <w:lvlJc w:val="left"/>
      <w:pPr>
        <w:ind w:left="2291" w:hanging="360"/>
      </w:pPr>
    </w:lvl>
    <w:lvl w:ilvl="2" w:tplc="240A001B" w:tentative="1">
      <w:start w:val="1"/>
      <w:numFmt w:val="lowerRoman"/>
      <w:lvlText w:val="%3."/>
      <w:lvlJc w:val="right"/>
      <w:pPr>
        <w:ind w:left="3011" w:hanging="180"/>
      </w:pPr>
    </w:lvl>
    <w:lvl w:ilvl="3" w:tplc="240A000F" w:tentative="1">
      <w:start w:val="1"/>
      <w:numFmt w:val="decimal"/>
      <w:lvlText w:val="%4."/>
      <w:lvlJc w:val="left"/>
      <w:pPr>
        <w:ind w:left="3731" w:hanging="360"/>
      </w:pPr>
    </w:lvl>
    <w:lvl w:ilvl="4" w:tplc="240A0019" w:tentative="1">
      <w:start w:val="1"/>
      <w:numFmt w:val="lowerLetter"/>
      <w:lvlText w:val="%5."/>
      <w:lvlJc w:val="left"/>
      <w:pPr>
        <w:ind w:left="4451" w:hanging="360"/>
      </w:pPr>
    </w:lvl>
    <w:lvl w:ilvl="5" w:tplc="240A001B" w:tentative="1">
      <w:start w:val="1"/>
      <w:numFmt w:val="lowerRoman"/>
      <w:lvlText w:val="%6."/>
      <w:lvlJc w:val="right"/>
      <w:pPr>
        <w:ind w:left="5171" w:hanging="180"/>
      </w:pPr>
    </w:lvl>
    <w:lvl w:ilvl="6" w:tplc="240A000F" w:tentative="1">
      <w:start w:val="1"/>
      <w:numFmt w:val="decimal"/>
      <w:lvlText w:val="%7."/>
      <w:lvlJc w:val="left"/>
      <w:pPr>
        <w:ind w:left="5891" w:hanging="360"/>
      </w:pPr>
    </w:lvl>
    <w:lvl w:ilvl="7" w:tplc="240A0019" w:tentative="1">
      <w:start w:val="1"/>
      <w:numFmt w:val="lowerLetter"/>
      <w:lvlText w:val="%8."/>
      <w:lvlJc w:val="left"/>
      <w:pPr>
        <w:ind w:left="6611" w:hanging="360"/>
      </w:pPr>
    </w:lvl>
    <w:lvl w:ilvl="8" w:tplc="2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B5D7838"/>
    <w:multiLevelType w:val="hybridMultilevel"/>
    <w:tmpl w:val="BE0AF8DE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D7F50FD"/>
    <w:multiLevelType w:val="multilevel"/>
    <w:tmpl w:val="746A97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4DBD2381"/>
    <w:multiLevelType w:val="hybridMultilevel"/>
    <w:tmpl w:val="6D90AEE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31A2F"/>
    <w:multiLevelType w:val="hybridMultilevel"/>
    <w:tmpl w:val="748EE7F0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32E58D7"/>
    <w:multiLevelType w:val="multilevel"/>
    <w:tmpl w:val="128CD2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56C03C61"/>
    <w:multiLevelType w:val="hybridMultilevel"/>
    <w:tmpl w:val="B91AC9CE"/>
    <w:lvl w:ilvl="0" w:tplc="5F0829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794219D"/>
    <w:multiLevelType w:val="hybridMultilevel"/>
    <w:tmpl w:val="674AED10"/>
    <w:lvl w:ilvl="0" w:tplc="1ED0867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4322C0F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BC0DA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7D414B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E565D7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834F40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2F631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EA0D95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FA08E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8EA4D5E"/>
    <w:multiLevelType w:val="hybridMultilevel"/>
    <w:tmpl w:val="AAC26BFA"/>
    <w:lvl w:ilvl="0" w:tplc="EB7A5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4C0906"/>
    <w:multiLevelType w:val="hybridMultilevel"/>
    <w:tmpl w:val="30768480"/>
    <w:lvl w:ilvl="0" w:tplc="8C5654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D460C7E"/>
    <w:multiLevelType w:val="hybridMultilevel"/>
    <w:tmpl w:val="85BAB318"/>
    <w:lvl w:ilvl="0" w:tplc="240A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5D5E3738"/>
    <w:multiLevelType w:val="hybridMultilevel"/>
    <w:tmpl w:val="263E93BA"/>
    <w:lvl w:ilvl="0" w:tplc="73389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B1AFC"/>
    <w:multiLevelType w:val="hybridMultilevel"/>
    <w:tmpl w:val="8CECE382"/>
    <w:lvl w:ilvl="0" w:tplc="240A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641D7D41"/>
    <w:multiLevelType w:val="hybridMultilevel"/>
    <w:tmpl w:val="E4D0B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F5089"/>
    <w:multiLevelType w:val="hybridMultilevel"/>
    <w:tmpl w:val="F1B432F8"/>
    <w:lvl w:ilvl="0" w:tplc="240A0017">
      <w:start w:val="1"/>
      <w:numFmt w:val="lowerLetter"/>
      <w:lvlText w:val="%1)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DB4804"/>
    <w:multiLevelType w:val="hybridMultilevel"/>
    <w:tmpl w:val="3080F346"/>
    <w:lvl w:ilvl="0" w:tplc="0E1A5E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1D5EF4"/>
    <w:multiLevelType w:val="hybridMultilevel"/>
    <w:tmpl w:val="21426D00"/>
    <w:lvl w:ilvl="0" w:tplc="3E00F3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8"/>
  </w:num>
  <w:num w:numId="5">
    <w:abstractNumId w:val="28"/>
  </w:num>
  <w:num w:numId="6">
    <w:abstractNumId w:val="41"/>
  </w:num>
  <w:num w:numId="7">
    <w:abstractNumId w:val="12"/>
  </w:num>
  <w:num w:numId="8">
    <w:abstractNumId w:val="31"/>
  </w:num>
  <w:num w:numId="9">
    <w:abstractNumId w:val="13"/>
  </w:num>
  <w:num w:numId="10">
    <w:abstractNumId w:val="23"/>
  </w:num>
  <w:num w:numId="11">
    <w:abstractNumId w:val="39"/>
  </w:num>
  <w:num w:numId="12">
    <w:abstractNumId w:val="14"/>
  </w:num>
  <w:num w:numId="13">
    <w:abstractNumId w:val="34"/>
  </w:num>
  <w:num w:numId="14">
    <w:abstractNumId w:val="11"/>
  </w:num>
  <w:num w:numId="15">
    <w:abstractNumId w:val="16"/>
  </w:num>
  <w:num w:numId="16">
    <w:abstractNumId w:val="4"/>
  </w:num>
  <w:num w:numId="17">
    <w:abstractNumId w:val="26"/>
  </w:num>
  <w:num w:numId="18">
    <w:abstractNumId w:val="40"/>
  </w:num>
  <w:num w:numId="19">
    <w:abstractNumId w:val="27"/>
  </w:num>
  <w:num w:numId="20">
    <w:abstractNumId w:val="30"/>
  </w:num>
  <w:num w:numId="21">
    <w:abstractNumId w:val="9"/>
  </w:num>
  <w:num w:numId="22">
    <w:abstractNumId w:val="20"/>
  </w:num>
  <w:num w:numId="23">
    <w:abstractNumId w:val="32"/>
  </w:num>
  <w:num w:numId="24">
    <w:abstractNumId w:val="17"/>
  </w:num>
  <w:num w:numId="25">
    <w:abstractNumId w:val="19"/>
  </w:num>
  <w:num w:numId="26">
    <w:abstractNumId w:val="10"/>
  </w:num>
  <w:num w:numId="27">
    <w:abstractNumId w:val="42"/>
  </w:num>
  <w:num w:numId="28">
    <w:abstractNumId w:val="25"/>
  </w:num>
  <w:num w:numId="29">
    <w:abstractNumId w:val="8"/>
  </w:num>
  <w:num w:numId="30">
    <w:abstractNumId w:val="3"/>
  </w:num>
  <w:num w:numId="31">
    <w:abstractNumId w:val="35"/>
  </w:num>
  <w:num w:numId="32">
    <w:abstractNumId w:val="6"/>
  </w:num>
  <w:num w:numId="33">
    <w:abstractNumId w:val="0"/>
  </w:num>
  <w:num w:numId="34">
    <w:abstractNumId w:val="5"/>
  </w:num>
  <w:num w:numId="35">
    <w:abstractNumId w:val="22"/>
  </w:num>
  <w:num w:numId="36">
    <w:abstractNumId w:val="24"/>
  </w:num>
  <w:num w:numId="37">
    <w:abstractNumId w:val="21"/>
  </w:num>
  <w:num w:numId="38">
    <w:abstractNumId w:val="1"/>
  </w:num>
  <w:num w:numId="39">
    <w:abstractNumId w:val="2"/>
  </w:num>
  <w:num w:numId="40">
    <w:abstractNumId w:val="7"/>
  </w:num>
  <w:num w:numId="41">
    <w:abstractNumId w:val="18"/>
  </w:num>
  <w:num w:numId="42">
    <w:abstractNumId w:val="37"/>
  </w:num>
  <w:num w:numId="43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A"/>
    <w:rsid w:val="00001A4F"/>
    <w:rsid w:val="00002325"/>
    <w:rsid w:val="00004028"/>
    <w:rsid w:val="00004472"/>
    <w:rsid w:val="000049F2"/>
    <w:rsid w:val="00004E50"/>
    <w:rsid w:val="0000599E"/>
    <w:rsid w:val="00005F4E"/>
    <w:rsid w:val="000064AF"/>
    <w:rsid w:val="00006D3D"/>
    <w:rsid w:val="0001013D"/>
    <w:rsid w:val="000103E4"/>
    <w:rsid w:val="000107D6"/>
    <w:rsid w:val="00010932"/>
    <w:rsid w:val="00014574"/>
    <w:rsid w:val="000173EA"/>
    <w:rsid w:val="000208D0"/>
    <w:rsid w:val="00023B3D"/>
    <w:rsid w:val="000242FE"/>
    <w:rsid w:val="000245FC"/>
    <w:rsid w:val="0002487A"/>
    <w:rsid w:val="0002507D"/>
    <w:rsid w:val="00026279"/>
    <w:rsid w:val="00027E6B"/>
    <w:rsid w:val="000305BD"/>
    <w:rsid w:val="00030C03"/>
    <w:rsid w:val="000322C0"/>
    <w:rsid w:val="00034F74"/>
    <w:rsid w:val="000379B6"/>
    <w:rsid w:val="00040162"/>
    <w:rsid w:val="000419D1"/>
    <w:rsid w:val="00041AB7"/>
    <w:rsid w:val="00042137"/>
    <w:rsid w:val="000430F6"/>
    <w:rsid w:val="0004577E"/>
    <w:rsid w:val="00045825"/>
    <w:rsid w:val="00050550"/>
    <w:rsid w:val="00055962"/>
    <w:rsid w:val="00055C28"/>
    <w:rsid w:val="00055F83"/>
    <w:rsid w:val="000561CD"/>
    <w:rsid w:val="00056A67"/>
    <w:rsid w:val="000635BC"/>
    <w:rsid w:val="000644FF"/>
    <w:rsid w:val="00064601"/>
    <w:rsid w:val="00064A80"/>
    <w:rsid w:val="00066844"/>
    <w:rsid w:val="00066A0E"/>
    <w:rsid w:val="00066B16"/>
    <w:rsid w:val="00066CE0"/>
    <w:rsid w:val="000671E1"/>
    <w:rsid w:val="00067E80"/>
    <w:rsid w:val="000729CE"/>
    <w:rsid w:val="00072A3F"/>
    <w:rsid w:val="00073D86"/>
    <w:rsid w:val="00075DCD"/>
    <w:rsid w:val="0008085F"/>
    <w:rsid w:val="000817C0"/>
    <w:rsid w:val="00084B74"/>
    <w:rsid w:val="00084FEE"/>
    <w:rsid w:val="0008792A"/>
    <w:rsid w:val="000942DD"/>
    <w:rsid w:val="00094D86"/>
    <w:rsid w:val="000951BA"/>
    <w:rsid w:val="000A2137"/>
    <w:rsid w:val="000A2936"/>
    <w:rsid w:val="000A60DC"/>
    <w:rsid w:val="000A6FB6"/>
    <w:rsid w:val="000A77C5"/>
    <w:rsid w:val="000A7E04"/>
    <w:rsid w:val="000B2D1C"/>
    <w:rsid w:val="000B4908"/>
    <w:rsid w:val="000B6F5C"/>
    <w:rsid w:val="000B76E8"/>
    <w:rsid w:val="000C0036"/>
    <w:rsid w:val="000C1527"/>
    <w:rsid w:val="000C1567"/>
    <w:rsid w:val="000C1D74"/>
    <w:rsid w:val="000C1F08"/>
    <w:rsid w:val="000C498F"/>
    <w:rsid w:val="000C525A"/>
    <w:rsid w:val="000C58AC"/>
    <w:rsid w:val="000D012D"/>
    <w:rsid w:val="000D0927"/>
    <w:rsid w:val="000D3716"/>
    <w:rsid w:val="000D3922"/>
    <w:rsid w:val="000D413F"/>
    <w:rsid w:val="000D52AB"/>
    <w:rsid w:val="000D5D7F"/>
    <w:rsid w:val="000E1728"/>
    <w:rsid w:val="000E4577"/>
    <w:rsid w:val="000E6A79"/>
    <w:rsid w:val="000F195F"/>
    <w:rsid w:val="000F1C04"/>
    <w:rsid w:val="000F1FAB"/>
    <w:rsid w:val="000F384A"/>
    <w:rsid w:val="000F4E6C"/>
    <w:rsid w:val="000F4EDB"/>
    <w:rsid w:val="000F5B0E"/>
    <w:rsid w:val="000F718B"/>
    <w:rsid w:val="000F7BE9"/>
    <w:rsid w:val="00100625"/>
    <w:rsid w:val="0010064A"/>
    <w:rsid w:val="001027EB"/>
    <w:rsid w:val="00104481"/>
    <w:rsid w:val="0010466E"/>
    <w:rsid w:val="00110E70"/>
    <w:rsid w:val="00111065"/>
    <w:rsid w:val="00112A8A"/>
    <w:rsid w:val="00113E29"/>
    <w:rsid w:val="00114F3F"/>
    <w:rsid w:val="00116636"/>
    <w:rsid w:val="00117110"/>
    <w:rsid w:val="0012090A"/>
    <w:rsid w:val="0012280F"/>
    <w:rsid w:val="00123419"/>
    <w:rsid w:val="00123B45"/>
    <w:rsid w:val="001241EC"/>
    <w:rsid w:val="00124A7C"/>
    <w:rsid w:val="00124DAC"/>
    <w:rsid w:val="00124DC9"/>
    <w:rsid w:val="00126EA9"/>
    <w:rsid w:val="001276C6"/>
    <w:rsid w:val="00130163"/>
    <w:rsid w:val="001317B0"/>
    <w:rsid w:val="001348C3"/>
    <w:rsid w:val="00134AFE"/>
    <w:rsid w:val="00134BE5"/>
    <w:rsid w:val="00134C10"/>
    <w:rsid w:val="00135A0F"/>
    <w:rsid w:val="0014051D"/>
    <w:rsid w:val="00140A54"/>
    <w:rsid w:val="001446D8"/>
    <w:rsid w:val="0014655F"/>
    <w:rsid w:val="001502A7"/>
    <w:rsid w:val="00150F89"/>
    <w:rsid w:val="001517AB"/>
    <w:rsid w:val="001532EC"/>
    <w:rsid w:val="00154E25"/>
    <w:rsid w:val="001557D8"/>
    <w:rsid w:val="001560DE"/>
    <w:rsid w:val="001561D5"/>
    <w:rsid w:val="00157721"/>
    <w:rsid w:val="00160024"/>
    <w:rsid w:val="00160662"/>
    <w:rsid w:val="00161339"/>
    <w:rsid w:val="001619CC"/>
    <w:rsid w:val="00165F42"/>
    <w:rsid w:val="00167323"/>
    <w:rsid w:val="001717AD"/>
    <w:rsid w:val="00172892"/>
    <w:rsid w:val="001735B6"/>
    <w:rsid w:val="00173C59"/>
    <w:rsid w:val="00174659"/>
    <w:rsid w:val="00176713"/>
    <w:rsid w:val="00177AE8"/>
    <w:rsid w:val="00177B7A"/>
    <w:rsid w:val="001808E5"/>
    <w:rsid w:val="00181139"/>
    <w:rsid w:val="00181387"/>
    <w:rsid w:val="00181A5A"/>
    <w:rsid w:val="00181EB6"/>
    <w:rsid w:val="00182E4E"/>
    <w:rsid w:val="001857C4"/>
    <w:rsid w:val="00185BBF"/>
    <w:rsid w:val="00185C22"/>
    <w:rsid w:val="00186471"/>
    <w:rsid w:val="001870FF"/>
    <w:rsid w:val="00187774"/>
    <w:rsid w:val="00187AEF"/>
    <w:rsid w:val="00190194"/>
    <w:rsid w:val="00191F17"/>
    <w:rsid w:val="00195EAB"/>
    <w:rsid w:val="001A099F"/>
    <w:rsid w:val="001A166A"/>
    <w:rsid w:val="001A1FE6"/>
    <w:rsid w:val="001A2D4D"/>
    <w:rsid w:val="001B06E0"/>
    <w:rsid w:val="001B0DF1"/>
    <w:rsid w:val="001B1851"/>
    <w:rsid w:val="001B3D77"/>
    <w:rsid w:val="001B42CE"/>
    <w:rsid w:val="001B5140"/>
    <w:rsid w:val="001B5BF1"/>
    <w:rsid w:val="001C14F6"/>
    <w:rsid w:val="001C1690"/>
    <w:rsid w:val="001C2D00"/>
    <w:rsid w:val="001C486A"/>
    <w:rsid w:val="001C4CF4"/>
    <w:rsid w:val="001C5553"/>
    <w:rsid w:val="001C6232"/>
    <w:rsid w:val="001C6AA5"/>
    <w:rsid w:val="001C7342"/>
    <w:rsid w:val="001D184F"/>
    <w:rsid w:val="001D27B8"/>
    <w:rsid w:val="001D27F9"/>
    <w:rsid w:val="001D2D67"/>
    <w:rsid w:val="001D4F66"/>
    <w:rsid w:val="001D5A7C"/>
    <w:rsid w:val="001D5FEA"/>
    <w:rsid w:val="001D6575"/>
    <w:rsid w:val="001D680C"/>
    <w:rsid w:val="001D6A62"/>
    <w:rsid w:val="001E204F"/>
    <w:rsid w:val="001E20CC"/>
    <w:rsid w:val="001E45E1"/>
    <w:rsid w:val="001E6751"/>
    <w:rsid w:val="001E6C8F"/>
    <w:rsid w:val="001F0499"/>
    <w:rsid w:val="001F076A"/>
    <w:rsid w:val="001F1227"/>
    <w:rsid w:val="001F4696"/>
    <w:rsid w:val="001F4A84"/>
    <w:rsid w:val="001F5A1E"/>
    <w:rsid w:val="001F6753"/>
    <w:rsid w:val="001F7A9E"/>
    <w:rsid w:val="00205569"/>
    <w:rsid w:val="00212D3E"/>
    <w:rsid w:val="00214C84"/>
    <w:rsid w:val="00215DE0"/>
    <w:rsid w:val="00216243"/>
    <w:rsid w:val="00216A90"/>
    <w:rsid w:val="00216E98"/>
    <w:rsid w:val="00217330"/>
    <w:rsid w:val="00220CBD"/>
    <w:rsid w:val="00220D2B"/>
    <w:rsid w:val="00220D78"/>
    <w:rsid w:val="00222259"/>
    <w:rsid w:val="0022323E"/>
    <w:rsid w:val="00223475"/>
    <w:rsid w:val="00224CB5"/>
    <w:rsid w:val="00224EE1"/>
    <w:rsid w:val="00224EE8"/>
    <w:rsid w:val="00227E74"/>
    <w:rsid w:val="00230413"/>
    <w:rsid w:val="00232EFB"/>
    <w:rsid w:val="002340D5"/>
    <w:rsid w:val="002349A0"/>
    <w:rsid w:val="00235DCF"/>
    <w:rsid w:val="00236047"/>
    <w:rsid w:val="00236AA3"/>
    <w:rsid w:val="00237766"/>
    <w:rsid w:val="00244308"/>
    <w:rsid w:val="0024539F"/>
    <w:rsid w:val="00245FF7"/>
    <w:rsid w:val="0025046B"/>
    <w:rsid w:val="00251566"/>
    <w:rsid w:val="00251A8C"/>
    <w:rsid w:val="00251F7C"/>
    <w:rsid w:val="002573A7"/>
    <w:rsid w:val="00257522"/>
    <w:rsid w:val="00260D3A"/>
    <w:rsid w:val="00261337"/>
    <w:rsid w:val="0026149F"/>
    <w:rsid w:val="00262019"/>
    <w:rsid w:val="00262A67"/>
    <w:rsid w:val="00263470"/>
    <w:rsid w:val="0026651B"/>
    <w:rsid w:val="0026745B"/>
    <w:rsid w:val="00267675"/>
    <w:rsid w:val="00267E1B"/>
    <w:rsid w:val="00271290"/>
    <w:rsid w:val="002714CA"/>
    <w:rsid w:val="0027267B"/>
    <w:rsid w:val="00274AC0"/>
    <w:rsid w:val="00275FDA"/>
    <w:rsid w:val="00277796"/>
    <w:rsid w:val="00280808"/>
    <w:rsid w:val="00280E66"/>
    <w:rsid w:val="00281E7D"/>
    <w:rsid w:val="00285970"/>
    <w:rsid w:val="00285C0A"/>
    <w:rsid w:val="0028649F"/>
    <w:rsid w:val="002867B3"/>
    <w:rsid w:val="00286B27"/>
    <w:rsid w:val="00287CA6"/>
    <w:rsid w:val="0029170D"/>
    <w:rsid w:val="00292439"/>
    <w:rsid w:val="00292862"/>
    <w:rsid w:val="00293943"/>
    <w:rsid w:val="00294E21"/>
    <w:rsid w:val="00297294"/>
    <w:rsid w:val="002A040F"/>
    <w:rsid w:val="002A0A0F"/>
    <w:rsid w:val="002A2610"/>
    <w:rsid w:val="002A4179"/>
    <w:rsid w:val="002A431B"/>
    <w:rsid w:val="002A4780"/>
    <w:rsid w:val="002A59C9"/>
    <w:rsid w:val="002A62D5"/>
    <w:rsid w:val="002B0780"/>
    <w:rsid w:val="002B200F"/>
    <w:rsid w:val="002B59ED"/>
    <w:rsid w:val="002B6934"/>
    <w:rsid w:val="002C0765"/>
    <w:rsid w:val="002C34C3"/>
    <w:rsid w:val="002C4FD9"/>
    <w:rsid w:val="002C70C2"/>
    <w:rsid w:val="002C782B"/>
    <w:rsid w:val="002D0C4E"/>
    <w:rsid w:val="002D1D61"/>
    <w:rsid w:val="002D3E43"/>
    <w:rsid w:val="002D461F"/>
    <w:rsid w:val="002D4C91"/>
    <w:rsid w:val="002D4DA9"/>
    <w:rsid w:val="002D585E"/>
    <w:rsid w:val="002D5AF3"/>
    <w:rsid w:val="002D6945"/>
    <w:rsid w:val="002E3915"/>
    <w:rsid w:val="002E54DD"/>
    <w:rsid w:val="002E5AC7"/>
    <w:rsid w:val="002E7A0D"/>
    <w:rsid w:val="002F0AFA"/>
    <w:rsid w:val="002F105F"/>
    <w:rsid w:val="002F505F"/>
    <w:rsid w:val="002F5871"/>
    <w:rsid w:val="002F6223"/>
    <w:rsid w:val="002F64A2"/>
    <w:rsid w:val="002F79E1"/>
    <w:rsid w:val="0030165C"/>
    <w:rsid w:val="00301F70"/>
    <w:rsid w:val="003040DC"/>
    <w:rsid w:val="0030454B"/>
    <w:rsid w:val="003051E9"/>
    <w:rsid w:val="0030602D"/>
    <w:rsid w:val="00306104"/>
    <w:rsid w:val="00307F64"/>
    <w:rsid w:val="00307F8D"/>
    <w:rsid w:val="00310F5F"/>
    <w:rsid w:val="00311180"/>
    <w:rsid w:val="0031296C"/>
    <w:rsid w:val="00313882"/>
    <w:rsid w:val="00314967"/>
    <w:rsid w:val="00315A62"/>
    <w:rsid w:val="00315B37"/>
    <w:rsid w:val="0032290F"/>
    <w:rsid w:val="00322D72"/>
    <w:rsid w:val="00323CB3"/>
    <w:rsid w:val="00324EB6"/>
    <w:rsid w:val="00325078"/>
    <w:rsid w:val="003262F6"/>
    <w:rsid w:val="00326A96"/>
    <w:rsid w:val="003316DD"/>
    <w:rsid w:val="00332468"/>
    <w:rsid w:val="00332E3B"/>
    <w:rsid w:val="003343E8"/>
    <w:rsid w:val="00335168"/>
    <w:rsid w:val="00335B8A"/>
    <w:rsid w:val="003372E5"/>
    <w:rsid w:val="00337C9E"/>
    <w:rsid w:val="00341124"/>
    <w:rsid w:val="00341605"/>
    <w:rsid w:val="00345D24"/>
    <w:rsid w:val="00352AB0"/>
    <w:rsid w:val="0035462A"/>
    <w:rsid w:val="003549A7"/>
    <w:rsid w:val="00360358"/>
    <w:rsid w:val="00360EEE"/>
    <w:rsid w:val="00361B68"/>
    <w:rsid w:val="00362166"/>
    <w:rsid w:val="003631FE"/>
    <w:rsid w:val="0036341E"/>
    <w:rsid w:val="00363D74"/>
    <w:rsid w:val="003666FC"/>
    <w:rsid w:val="00370D12"/>
    <w:rsid w:val="00370E37"/>
    <w:rsid w:val="00372744"/>
    <w:rsid w:val="00373E9F"/>
    <w:rsid w:val="00374382"/>
    <w:rsid w:val="00375B10"/>
    <w:rsid w:val="00376BFD"/>
    <w:rsid w:val="00377E26"/>
    <w:rsid w:val="00381725"/>
    <w:rsid w:val="0038227D"/>
    <w:rsid w:val="00383D30"/>
    <w:rsid w:val="00384519"/>
    <w:rsid w:val="00384ADD"/>
    <w:rsid w:val="00385069"/>
    <w:rsid w:val="00390A62"/>
    <w:rsid w:val="00392221"/>
    <w:rsid w:val="00395365"/>
    <w:rsid w:val="003968A1"/>
    <w:rsid w:val="003A3F66"/>
    <w:rsid w:val="003A476C"/>
    <w:rsid w:val="003B0F5C"/>
    <w:rsid w:val="003B1A2E"/>
    <w:rsid w:val="003B1D26"/>
    <w:rsid w:val="003B23EE"/>
    <w:rsid w:val="003B45E4"/>
    <w:rsid w:val="003B5544"/>
    <w:rsid w:val="003B6500"/>
    <w:rsid w:val="003B7520"/>
    <w:rsid w:val="003C0FDB"/>
    <w:rsid w:val="003C2FE5"/>
    <w:rsid w:val="003C4124"/>
    <w:rsid w:val="003C6166"/>
    <w:rsid w:val="003C651E"/>
    <w:rsid w:val="003D00CB"/>
    <w:rsid w:val="003D08BB"/>
    <w:rsid w:val="003D10FA"/>
    <w:rsid w:val="003D1600"/>
    <w:rsid w:val="003D23F0"/>
    <w:rsid w:val="003D7786"/>
    <w:rsid w:val="003D79AF"/>
    <w:rsid w:val="003E0A8D"/>
    <w:rsid w:val="003E0EBD"/>
    <w:rsid w:val="003E1F3E"/>
    <w:rsid w:val="003E2623"/>
    <w:rsid w:val="003E2D89"/>
    <w:rsid w:val="003E562D"/>
    <w:rsid w:val="003E6781"/>
    <w:rsid w:val="003F06FC"/>
    <w:rsid w:val="003F084A"/>
    <w:rsid w:val="003F4362"/>
    <w:rsid w:val="003F5B9D"/>
    <w:rsid w:val="003F6E46"/>
    <w:rsid w:val="004021E1"/>
    <w:rsid w:val="0040569A"/>
    <w:rsid w:val="00406DFE"/>
    <w:rsid w:val="004071CA"/>
    <w:rsid w:val="0040723C"/>
    <w:rsid w:val="00412F7A"/>
    <w:rsid w:val="00413BF4"/>
    <w:rsid w:val="00413D41"/>
    <w:rsid w:val="0041637D"/>
    <w:rsid w:val="00416CE5"/>
    <w:rsid w:val="0041749F"/>
    <w:rsid w:val="004174C3"/>
    <w:rsid w:val="004211A2"/>
    <w:rsid w:val="00421290"/>
    <w:rsid w:val="00421848"/>
    <w:rsid w:val="00422A88"/>
    <w:rsid w:val="00424363"/>
    <w:rsid w:val="00424CBC"/>
    <w:rsid w:val="00424DEE"/>
    <w:rsid w:val="00424E7D"/>
    <w:rsid w:val="00426F2E"/>
    <w:rsid w:val="004316DF"/>
    <w:rsid w:val="00431BDA"/>
    <w:rsid w:val="00431D4C"/>
    <w:rsid w:val="00435F76"/>
    <w:rsid w:val="0043624A"/>
    <w:rsid w:val="00441299"/>
    <w:rsid w:val="00441B83"/>
    <w:rsid w:val="004427B7"/>
    <w:rsid w:val="0044287D"/>
    <w:rsid w:val="00443181"/>
    <w:rsid w:val="004434CE"/>
    <w:rsid w:val="00445528"/>
    <w:rsid w:val="00446026"/>
    <w:rsid w:val="004473D1"/>
    <w:rsid w:val="00447E4A"/>
    <w:rsid w:val="00450DA6"/>
    <w:rsid w:val="0045176F"/>
    <w:rsid w:val="00451C9F"/>
    <w:rsid w:val="00452161"/>
    <w:rsid w:val="00452B6E"/>
    <w:rsid w:val="004531B1"/>
    <w:rsid w:val="00454760"/>
    <w:rsid w:val="00454EA7"/>
    <w:rsid w:val="00455BDB"/>
    <w:rsid w:val="00456188"/>
    <w:rsid w:val="0045693D"/>
    <w:rsid w:val="0045728F"/>
    <w:rsid w:val="00457BAF"/>
    <w:rsid w:val="00460162"/>
    <w:rsid w:val="00461D80"/>
    <w:rsid w:val="00464793"/>
    <w:rsid w:val="0046661B"/>
    <w:rsid w:val="004679D4"/>
    <w:rsid w:val="00473069"/>
    <w:rsid w:val="004765C1"/>
    <w:rsid w:val="00476938"/>
    <w:rsid w:val="00477023"/>
    <w:rsid w:val="004772B5"/>
    <w:rsid w:val="00482DFE"/>
    <w:rsid w:val="004848AD"/>
    <w:rsid w:val="00485C8F"/>
    <w:rsid w:val="00486AC0"/>
    <w:rsid w:val="004915B5"/>
    <w:rsid w:val="004922F8"/>
    <w:rsid w:val="00497ED9"/>
    <w:rsid w:val="004A210D"/>
    <w:rsid w:val="004A2F84"/>
    <w:rsid w:val="004A3673"/>
    <w:rsid w:val="004A44AB"/>
    <w:rsid w:val="004B3B76"/>
    <w:rsid w:val="004B3D87"/>
    <w:rsid w:val="004B411D"/>
    <w:rsid w:val="004B57A6"/>
    <w:rsid w:val="004C2733"/>
    <w:rsid w:val="004C33B7"/>
    <w:rsid w:val="004C4F47"/>
    <w:rsid w:val="004C5998"/>
    <w:rsid w:val="004C5D25"/>
    <w:rsid w:val="004C6C7D"/>
    <w:rsid w:val="004C7733"/>
    <w:rsid w:val="004C79A6"/>
    <w:rsid w:val="004D20D8"/>
    <w:rsid w:val="004D49F8"/>
    <w:rsid w:val="004D5832"/>
    <w:rsid w:val="004D624B"/>
    <w:rsid w:val="004D68E5"/>
    <w:rsid w:val="004D7167"/>
    <w:rsid w:val="004E060F"/>
    <w:rsid w:val="004E0BED"/>
    <w:rsid w:val="004E5F67"/>
    <w:rsid w:val="004E67A6"/>
    <w:rsid w:val="004E68CC"/>
    <w:rsid w:val="004E709A"/>
    <w:rsid w:val="004F0431"/>
    <w:rsid w:val="004F04C7"/>
    <w:rsid w:val="004F22A3"/>
    <w:rsid w:val="004F3815"/>
    <w:rsid w:val="004F3CE7"/>
    <w:rsid w:val="004F5409"/>
    <w:rsid w:val="004F549C"/>
    <w:rsid w:val="004F559D"/>
    <w:rsid w:val="004F72A9"/>
    <w:rsid w:val="004F7513"/>
    <w:rsid w:val="00500E21"/>
    <w:rsid w:val="00504408"/>
    <w:rsid w:val="00511036"/>
    <w:rsid w:val="005111CD"/>
    <w:rsid w:val="00511ABF"/>
    <w:rsid w:val="00514D1E"/>
    <w:rsid w:val="0051753F"/>
    <w:rsid w:val="005177C7"/>
    <w:rsid w:val="00520F62"/>
    <w:rsid w:val="00521276"/>
    <w:rsid w:val="00521FA9"/>
    <w:rsid w:val="0052309F"/>
    <w:rsid w:val="0052540D"/>
    <w:rsid w:val="00525FCD"/>
    <w:rsid w:val="00526B93"/>
    <w:rsid w:val="00527AF4"/>
    <w:rsid w:val="00531939"/>
    <w:rsid w:val="00532BA6"/>
    <w:rsid w:val="00533C2B"/>
    <w:rsid w:val="0053768A"/>
    <w:rsid w:val="00537716"/>
    <w:rsid w:val="005425DE"/>
    <w:rsid w:val="005427C4"/>
    <w:rsid w:val="00546E12"/>
    <w:rsid w:val="00552821"/>
    <w:rsid w:val="005568E1"/>
    <w:rsid w:val="00556D93"/>
    <w:rsid w:val="00560837"/>
    <w:rsid w:val="005613E3"/>
    <w:rsid w:val="005617FF"/>
    <w:rsid w:val="005628D8"/>
    <w:rsid w:val="005639AE"/>
    <w:rsid w:val="00565826"/>
    <w:rsid w:val="00565D5E"/>
    <w:rsid w:val="00566E7F"/>
    <w:rsid w:val="0057156D"/>
    <w:rsid w:val="00571D91"/>
    <w:rsid w:val="0057314C"/>
    <w:rsid w:val="00573677"/>
    <w:rsid w:val="00574079"/>
    <w:rsid w:val="005743C2"/>
    <w:rsid w:val="005745B6"/>
    <w:rsid w:val="005771AF"/>
    <w:rsid w:val="00581EB3"/>
    <w:rsid w:val="00582DD8"/>
    <w:rsid w:val="00583836"/>
    <w:rsid w:val="005847B5"/>
    <w:rsid w:val="00585CD5"/>
    <w:rsid w:val="00592E86"/>
    <w:rsid w:val="00595D89"/>
    <w:rsid w:val="005960DB"/>
    <w:rsid w:val="0059679D"/>
    <w:rsid w:val="00596BED"/>
    <w:rsid w:val="005A0B9D"/>
    <w:rsid w:val="005A7E12"/>
    <w:rsid w:val="005B39CF"/>
    <w:rsid w:val="005B5D39"/>
    <w:rsid w:val="005C026C"/>
    <w:rsid w:val="005C2647"/>
    <w:rsid w:val="005C3ECB"/>
    <w:rsid w:val="005C4F73"/>
    <w:rsid w:val="005C52DF"/>
    <w:rsid w:val="005C60BD"/>
    <w:rsid w:val="005C62AA"/>
    <w:rsid w:val="005C6657"/>
    <w:rsid w:val="005C784E"/>
    <w:rsid w:val="005D076B"/>
    <w:rsid w:val="005D0B24"/>
    <w:rsid w:val="005D18CF"/>
    <w:rsid w:val="005D457D"/>
    <w:rsid w:val="005D4F84"/>
    <w:rsid w:val="005D6300"/>
    <w:rsid w:val="005D7056"/>
    <w:rsid w:val="005E0FDA"/>
    <w:rsid w:val="005E17AB"/>
    <w:rsid w:val="005E180E"/>
    <w:rsid w:val="005E2DBE"/>
    <w:rsid w:val="005E3201"/>
    <w:rsid w:val="005E50A1"/>
    <w:rsid w:val="005E5E8B"/>
    <w:rsid w:val="005F1089"/>
    <w:rsid w:val="005F356A"/>
    <w:rsid w:val="005F4009"/>
    <w:rsid w:val="005F51E6"/>
    <w:rsid w:val="005F6F38"/>
    <w:rsid w:val="0060113F"/>
    <w:rsid w:val="006016E6"/>
    <w:rsid w:val="00604ED7"/>
    <w:rsid w:val="006059FE"/>
    <w:rsid w:val="00605B40"/>
    <w:rsid w:val="0060771E"/>
    <w:rsid w:val="00611E70"/>
    <w:rsid w:val="00614EA3"/>
    <w:rsid w:val="00617204"/>
    <w:rsid w:val="00617D2F"/>
    <w:rsid w:val="006206E9"/>
    <w:rsid w:val="00621150"/>
    <w:rsid w:val="00626626"/>
    <w:rsid w:val="00627FBA"/>
    <w:rsid w:val="006337D5"/>
    <w:rsid w:val="00633D39"/>
    <w:rsid w:val="00634179"/>
    <w:rsid w:val="0063493A"/>
    <w:rsid w:val="00634D16"/>
    <w:rsid w:val="00635797"/>
    <w:rsid w:val="00635A28"/>
    <w:rsid w:val="006365B7"/>
    <w:rsid w:val="006367E1"/>
    <w:rsid w:val="0063732E"/>
    <w:rsid w:val="00640592"/>
    <w:rsid w:val="0064103F"/>
    <w:rsid w:val="00642018"/>
    <w:rsid w:val="0064424F"/>
    <w:rsid w:val="006504BC"/>
    <w:rsid w:val="00651DB6"/>
    <w:rsid w:val="00652B09"/>
    <w:rsid w:val="0065353D"/>
    <w:rsid w:val="00654BD4"/>
    <w:rsid w:val="00655E00"/>
    <w:rsid w:val="006607DC"/>
    <w:rsid w:val="006614D1"/>
    <w:rsid w:val="006618AC"/>
    <w:rsid w:val="00661DD3"/>
    <w:rsid w:val="00662CB1"/>
    <w:rsid w:val="0066392A"/>
    <w:rsid w:val="006644B1"/>
    <w:rsid w:val="0066526A"/>
    <w:rsid w:val="006655AD"/>
    <w:rsid w:val="00665729"/>
    <w:rsid w:val="0066759C"/>
    <w:rsid w:val="006716BF"/>
    <w:rsid w:val="00672392"/>
    <w:rsid w:val="00672AB5"/>
    <w:rsid w:val="0067322C"/>
    <w:rsid w:val="006734FC"/>
    <w:rsid w:val="00673890"/>
    <w:rsid w:val="00673B25"/>
    <w:rsid w:val="00673C97"/>
    <w:rsid w:val="00674152"/>
    <w:rsid w:val="0067426F"/>
    <w:rsid w:val="00674CF6"/>
    <w:rsid w:val="00676EE3"/>
    <w:rsid w:val="00681C0D"/>
    <w:rsid w:val="00682056"/>
    <w:rsid w:val="006862DD"/>
    <w:rsid w:val="00686FFE"/>
    <w:rsid w:val="00690584"/>
    <w:rsid w:val="00691AD0"/>
    <w:rsid w:val="006926F5"/>
    <w:rsid w:val="006977B1"/>
    <w:rsid w:val="006A0C8D"/>
    <w:rsid w:val="006A2A9B"/>
    <w:rsid w:val="006A4165"/>
    <w:rsid w:val="006A5FBA"/>
    <w:rsid w:val="006A7919"/>
    <w:rsid w:val="006B0AEF"/>
    <w:rsid w:val="006B30A4"/>
    <w:rsid w:val="006B52B4"/>
    <w:rsid w:val="006B65FA"/>
    <w:rsid w:val="006B7C78"/>
    <w:rsid w:val="006C3779"/>
    <w:rsid w:val="006C4A4A"/>
    <w:rsid w:val="006D54AB"/>
    <w:rsid w:val="006D5C13"/>
    <w:rsid w:val="006E07E7"/>
    <w:rsid w:val="006E2969"/>
    <w:rsid w:val="006E6B86"/>
    <w:rsid w:val="006E7775"/>
    <w:rsid w:val="006F075D"/>
    <w:rsid w:val="006F18A8"/>
    <w:rsid w:val="006F2746"/>
    <w:rsid w:val="006F2EA2"/>
    <w:rsid w:val="006F40B8"/>
    <w:rsid w:val="006F5F6F"/>
    <w:rsid w:val="006F79A8"/>
    <w:rsid w:val="00702DA3"/>
    <w:rsid w:val="00704AFB"/>
    <w:rsid w:val="00704C21"/>
    <w:rsid w:val="007068C2"/>
    <w:rsid w:val="00706C44"/>
    <w:rsid w:val="00710081"/>
    <w:rsid w:val="00712226"/>
    <w:rsid w:val="00713124"/>
    <w:rsid w:val="00713C0B"/>
    <w:rsid w:val="007142BC"/>
    <w:rsid w:val="0071463E"/>
    <w:rsid w:val="00714D6A"/>
    <w:rsid w:val="007153DD"/>
    <w:rsid w:val="00721D42"/>
    <w:rsid w:val="007239C8"/>
    <w:rsid w:val="00724F1D"/>
    <w:rsid w:val="007254F4"/>
    <w:rsid w:val="00726426"/>
    <w:rsid w:val="00726614"/>
    <w:rsid w:val="00730194"/>
    <w:rsid w:val="00731489"/>
    <w:rsid w:val="007319EA"/>
    <w:rsid w:val="007320DC"/>
    <w:rsid w:val="00733260"/>
    <w:rsid w:val="007339D2"/>
    <w:rsid w:val="00734779"/>
    <w:rsid w:val="007348BC"/>
    <w:rsid w:val="00735415"/>
    <w:rsid w:val="00735D5C"/>
    <w:rsid w:val="00735E66"/>
    <w:rsid w:val="00736028"/>
    <w:rsid w:val="007363BD"/>
    <w:rsid w:val="007368DB"/>
    <w:rsid w:val="00736AA6"/>
    <w:rsid w:val="007408E5"/>
    <w:rsid w:val="007412C5"/>
    <w:rsid w:val="0074185E"/>
    <w:rsid w:val="007420D9"/>
    <w:rsid w:val="007430B2"/>
    <w:rsid w:val="00744AC6"/>
    <w:rsid w:val="00747148"/>
    <w:rsid w:val="007479BD"/>
    <w:rsid w:val="00747FBE"/>
    <w:rsid w:val="00750466"/>
    <w:rsid w:val="007513F6"/>
    <w:rsid w:val="00752017"/>
    <w:rsid w:val="00752D41"/>
    <w:rsid w:val="007535C1"/>
    <w:rsid w:val="00760DA6"/>
    <w:rsid w:val="00760E28"/>
    <w:rsid w:val="00762CA4"/>
    <w:rsid w:val="0076431D"/>
    <w:rsid w:val="007657B0"/>
    <w:rsid w:val="00765F40"/>
    <w:rsid w:val="00766BA4"/>
    <w:rsid w:val="007700E3"/>
    <w:rsid w:val="0077176D"/>
    <w:rsid w:val="007747C0"/>
    <w:rsid w:val="00774E62"/>
    <w:rsid w:val="00775882"/>
    <w:rsid w:val="007771D3"/>
    <w:rsid w:val="0077740E"/>
    <w:rsid w:val="007810E9"/>
    <w:rsid w:val="0078312E"/>
    <w:rsid w:val="00785183"/>
    <w:rsid w:val="00785B0D"/>
    <w:rsid w:val="00786A6B"/>
    <w:rsid w:val="007873A6"/>
    <w:rsid w:val="00792DAD"/>
    <w:rsid w:val="00795AB2"/>
    <w:rsid w:val="0079670E"/>
    <w:rsid w:val="007A1B18"/>
    <w:rsid w:val="007A2DE0"/>
    <w:rsid w:val="007A30F7"/>
    <w:rsid w:val="007A503C"/>
    <w:rsid w:val="007B637E"/>
    <w:rsid w:val="007B6878"/>
    <w:rsid w:val="007C0148"/>
    <w:rsid w:val="007C35CF"/>
    <w:rsid w:val="007C3726"/>
    <w:rsid w:val="007C37C0"/>
    <w:rsid w:val="007C4CB2"/>
    <w:rsid w:val="007C50F0"/>
    <w:rsid w:val="007C6903"/>
    <w:rsid w:val="007D01B9"/>
    <w:rsid w:val="007D078D"/>
    <w:rsid w:val="007D0B63"/>
    <w:rsid w:val="007D0DB6"/>
    <w:rsid w:val="007D144D"/>
    <w:rsid w:val="007D336E"/>
    <w:rsid w:val="007D4238"/>
    <w:rsid w:val="007D59E1"/>
    <w:rsid w:val="007D6037"/>
    <w:rsid w:val="007D64A6"/>
    <w:rsid w:val="007D6655"/>
    <w:rsid w:val="007E0AE4"/>
    <w:rsid w:val="007E186E"/>
    <w:rsid w:val="007E2494"/>
    <w:rsid w:val="007E24F0"/>
    <w:rsid w:val="007E3D4D"/>
    <w:rsid w:val="007E6FC1"/>
    <w:rsid w:val="007E74A8"/>
    <w:rsid w:val="007F0081"/>
    <w:rsid w:val="007F0D4C"/>
    <w:rsid w:val="007F56CF"/>
    <w:rsid w:val="0080158B"/>
    <w:rsid w:val="00801A91"/>
    <w:rsid w:val="00804596"/>
    <w:rsid w:val="00805773"/>
    <w:rsid w:val="00806355"/>
    <w:rsid w:val="00810A73"/>
    <w:rsid w:val="00812184"/>
    <w:rsid w:val="008127D9"/>
    <w:rsid w:val="0081392C"/>
    <w:rsid w:val="00813C8A"/>
    <w:rsid w:val="00814114"/>
    <w:rsid w:val="008153B6"/>
    <w:rsid w:val="00815C78"/>
    <w:rsid w:val="00821270"/>
    <w:rsid w:val="00821B25"/>
    <w:rsid w:val="00823192"/>
    <w:rsid w:val="0082525A"/>
    <w:rsid w:val="00825F08"/>
    <w:rsid w:val="00826559"/>
    <w:rsid w:val="008316C2"/>
    <w:rsid w:val="00835FE7"/>
    <w:rsid w:val="0084080A"/>
    <w:rsid w:val="00841200"/>
    <w:rsid w:val="00841917"/>
    <w:rsid w:val="008428BD"/>
    <w:rsid w:val="00844A9F"/>
    <w:rsid w:val="00846084"/>
    <w:rsid w:val="008468B6"/>
    <w:rsid w:val="00846975"/>
    <w:rsid w:val="008505A9"/>
    <w:rsid w:val="0085063E"/>
    <w:rsid w:val="008518D1"/>
    <w:rsid w:val="0085249F"/>
    <w:rsid w:val="00853013"/>
    <w:rsid w:val="00855230"/>
    <w:rsid w:val="00856A41"/>
    <w:rsid w:val="008575FA"/>
    <w:rsid w:val="00861DB4"/>
    <w:rsid w:val="008627D1"/>
    <w:rsid w:val="0086419A"/>
    <w:rsid w:val="008644E3"/>
    <w:rsid w:val="00867E86"/>
    <w:rsid w:val="00870914"/>
    <w:rsid w:val="00873185"/>
    <w:rsid w:val="008747DA"/>
    <w:rsid w:val="0087682F"/>
    <w:rsid w:val="0088085F"/>
    <w:rsid w:val="00881C8F"/>
    <w:rsid w:val="0088206A"/>
    <w:rsid w:val="00882F88"/>
    <w:rsid w:val="0088709A"/>
    <w:rsid w:val="00887995"/>
    <w:rsid w:val="00890909"/>
    <w:rsid w:val="00891193"/>
    <w:rsid w:val="00891486"/>
    <w:rsid w:val="00891D3A"/>
    <w:rsid w:val="00893453"/>
    <w:rsid w:val="00895F91"/>
    <w:rsid w:val="00897C2A"/>
    <w:rsid w:val="00897D29"/>
    <w:rsid w:val="008A03FA"/>
    <w:rsid w:val="008A0B98"/>
    <w:rsid w:val="008A2D05"/>
    <w:rsid w:val="008A32EC"/>
    <w:rsid w:val="008A4A18"/>
    <w:rsid w:val="008B0DA8"/>
    <w:rsid w:val="008B1064"/>
    <w:rsid w:val="008B16DE"/>
    <w:rsid w:val="008B1930"/>
    <w:rsid w:val="008B3599"/>
    <w:rsid w:val="008B3901"/>
    <w:rsid w:val="008B3F77"/>
    <w:rsid w:val="008B50C7"/>
    <w:rsid w:val="008B5C01"/>
    <w:rsid w:val="008B6468"/>
    <w:rsid w:val="008B6993"/>
    <w:rsid w:val="008B6BF7"/>
    <w:rsid w:val="008B7557"/>
    <w:rsid w:val="008B76AE"/>
    <w:rsid w:val="008B7F23"/>
    <w:rsid w:val="008C11BD"/>
    <w:rsid w:val="008C2E6F"/>
    <w:rsid w:val="008C3475"/>
    <w:rsid w:val="008C3864"/>
    <w:rsid w:val="008C3AF1"/>
    <w:rsid w:val="008C3C9C"/>
    <w:rsid w:val="008D1152"/>
    <w:rsid w:val="008D1388"/>
    <w:rsid w:val="008D1A43"/>
    <w:rsid w:val="008D257A"/>
    <w:rsid w:val="008D3969"/>
    <w:rsid w:val="008D4C45"/>
    <w:rsid w:val="008D4D3D"/>
    <w:rsid w:val="008D5802"/>
    <w:rsid w:val="008D7CDC"/>
    <w:rsid w:val="008E084F"/>
    <w:rsid w:val="008E291D"/>
    <w:rsid w:val="008E4650"/>
    <w:rsid w:val="008E615A"/>
    <w:rsid w:val="008F1A4D"/>
    <w:rsid w:val="008F39E3"/>
    <w:rsid w:val="008F3A66"/>
    <w:rsid w:val="008F3DF9"/>
    <w:rsid w:val="008F55F9"/>
    <w:rsid w:val="008F6762"/>
    <w:rsid w:val="00902BBE"/>
    <w:rsid w:val="00903534"/>
    <w:rsid w:val="00904577"/>
    <w:rsid w:val="00905333"/>
    <w:rsid w:val="00905BFC"/>
    <w:rsid w:val="00905F7B"/>
    <w:rsid w:val="009060A6"/>
    <w:rsid w:val="00910101"/>
    <w:rsid w:val="00910409"/>
    <w:rsid w:val="0091119B"/>
    <w:rsid w:val="00911A66"/>
    <w:rsid w:val="0091371C"/>
    <w:rsid w:val="00913A19"/>
    <w:rsid w:val="00920ABA"/>
    <w:rsid w:val="00922CF8"/>
    <w:rsid w:val="009231AC"/>
    <w:rsid w:val="00923E0B"/>
    <w:rsid w:val="00923F08"/>
    <w:rsid w:val="009257F5"/>
    <w:rsid w:val="00925F74"/>
    <w:rsid w:val="00926772"/>
    <w:rsid w:val="0093011B"/>
    <w:rsid w:val="009352C1"/>
    <w:rsid w:val="00936726"/>
    <w:rsid w:val="00937BD3"/>
    <w:rsid w:val="009403AA"/>
    <w:rsid w:val="00941C84"/>
    <w:rsid w:val="00943FB3"/>
    <w:rsid w:val="0094596E"/>
    <w:rsid w:val="0095011B"/>
    <w:rsid w:val="00950B9A"/>
    <w:rsid w:val="00952D8D"/>
    <w:rsid w:val="009532B5"/>
    <w:rsid w:val="00956712"/>
    <w:rsid w:val="00961501"/>
    <w:rsid w:val="00961D41"/>
    <w:rsid w:val="00964A38"/>
    <w:rsid w:val="00966889"/>
    <w:rsid w:val="00970483"/>
    <w:rsid w:val="00970CCB"/>
    <w:rsid w:val="0097271E"/>
    <w:rsid w:val="00973F4C"/>
    <w:rsid w:val="00974280"/>
    <w:rsid w:val="0097498E"/>
    <w:rsid w:val="009751DA"/>
    <w:rsid w:val="0098002C"/>
    <w:rsid w:val="00980D29"/>
    <w:rsid w:val="00984419"/>
    <w:rsid w:val="009871BB"/>
    <w:rsid w:val="009963CF"/>
    <w:rsid w:val="00996589"/>
    <w:rsid w:val="00996BA5"/>
    <w:rsid w:val="00997771"/>
    <w:rsid w:val="009A1AB8"/>
    <w:rsid w:val="009A1E77"/>
    <w:rsid w:val="009A1F80"/>
    <w:rsid w:val="009A2746"/>
    <w:rsid w:val="009A4330"/>
    <w:rsid w:val="009A4CBB"/>
    <w:rsid w:val="009A5137"/>
    <w:rsid w:val="009A5824"/>
    <w:rsid w:val="009A59AD"/>
    <w:rsid w:val="009A5BA4"/>
    <w:rsid w:val="009A6CBC"/>
    <w:rsid w:val="009A6E34"/>
    <w:rsid w:val="009B0325"/>
    <w:rsid w:val="009B071D"/>
    <w:rsid w:val="009B1555"/>
    <w:rsid w:val="009B2029"/>
    <w:rsid w:val="009B25FC"/>
    <w:rsid w:val="009B5A4B"/>
    <w:rsid w:val="009B72B9"/>
    <w:rsid w:val="009B7949"/>
    <w:rsid w:val="009C04E0"/>
    <w:rsid w:val="009C4F90"/>
    <w:rsid w:val="009C71FA"/>
    <w:rsid w:val="009C7E04"/>
    <w:rsid w:val="009C7F1A"/>
    <w:rsid w:val="009D2449"/>
    <w:rsid w:val="009E057D"/>
    <w:rsid w:val="009E0AB7"/>
    <w:rsid w:val="009E12B9"/>
    <w:rsid w:val="009E3AE8"/>
    <w:rsid w:val="009E4009"/>
    <w:rsid w:val="009E713A"/>
    <w:rsid w:val="009F0E7B"/>
    <w:rsid w:val="009F20C8"/>
    <w:rsid w:val="009F25D5"/>
    <w:rsid w:val="009F4D16"/>
    <w:rsid w:val="00A001B9"/>
    <w:rsid w:val="00A01C2C"/>
    <w:rsid w:val="00A01FCA"/>
    <w:rsid w:val="00A0261D"/>
    <w:rsid w:val="00A043D1"/>
    <w:rsid w:val="00A045A2"/>
    <w:rsid w:val="00A046EE"/>
    <w:rsid w:val="00A07599"/>
    <w:rsid w:val="00A10D14"/>
    <w:rsid w:val="00A113EB"/>
    <w:rsid w:val="00A1167C"/>
    <w:rsid w:val="00A12D72"/>
    <w:rsid w:val="00A14E12"/>
    <w:rsid w:val="00A1530A"/>
    <w:rsid w:val="00A15801"/>
    <w:rsid w:val="00A16851"/>
    <w:rsid w:val="00A21085"/>
    <w:rsid w:val="00A24441"/>
    <w:rsid w:val="00A24A49"/>
    <w:rsid w:val="00A25B2C"/>
    <w:rsid w:val="00A27070"/>
    <w:rsid w:val="00A3395F"/>
    <w:rsid w:val="00A33EEF"/>
    <w:rsid w:val="00A348B5"/>
    <w:rsid w:val="00A352C0"/>
    <w:rsid w:val="00A35A3E"/>
    <w:rsid w:val="00A36325"/>
    <w:rsid w:val="00A4002C"/>
    <w:rsid w:val="00A40157"/>
    <w:rsid w:val="00A404A5"/>
    <w:rsid w:val="00A42801"/>
    <w:rsid w:val="00A438AA"/>
    <w:rsid w:val="00A463F4"/>
    <w:rsid w:val="00A46CA1"/>
    <w:rsid w:val="00A47D4A"/>
    <w:rsid w:val="00A50A18"/>
    <w:rsid w:val="00A50B99"/>
    <w:rsid w:val="00A50C2D"/>
    <w:rsid w:val="00A519C4"/>
    <w:rsid w:val="00A51A37"/>
    <w:rsid w:val="00A52A3F"/>
    <w:rsid w:val="00A52B22"/>
    <w:rsid w:val="00A54459"/>
    <w:rsid w:val="00A54638"/>
    <w:rsid w:val="00A553E6"/>
    <w:rsid w:val="00A605B4"/>
    <w:rsid w:val="00A616F8"/>
    <w:rsid w:val="00A64D5D"/>
    <w:rsid w:val="00A655C2"/>
    <w:rsid w:val="00A6657E"/>
    <w:rsid w:val="00A67B4F"/>
    <w:rsid w:val="00A7079E"/>
    <w:rsid w:val="00A70967"/>
    <w:rsid w:val="00A73391"/>
    <w:rsid w:val="00A73422"/>
    <w:rsid w:val="00A73CDC"/>
    <w:rsid w:val="00A75BFC"/>
    <w:rsid w:val="00A76A35"/>
    <w:rsid w:val="00A810C4"/>
    <w:rsid w:val="00A839D9"/>
    <w:rsid w:val="00A843BC"/>
    <w:rsid w:val="00A84485"/>
    <w:rsid w:val="00A84FEC"/>
    <w:rsid w:val="00A85021"/>
    <w:rsid w:val="00A87100"/>
    <w:rsid w:val="00A905C8"/>
    <w:rsid w:val="00A90730"/>
    <w:rsid w:val="00A90A9E"/>
    <w:rsid w:val="00A91044"/>
    <w:rsid w:val="00A95B7C"/>
    <w:rsid w:val="00A96897"/>
    <w:rsid w:val="00A96D1F"/>
    <w:rsid w:val="00AA0302"/>
    <w:rsid w:val="00AA06AA"/>
    <w:rsid w:val="00AA09EF"/>
    <w:rsid w:val="00AA1ADE"/>
    <w:rsid w:val="00AA21BF"/>
    <w:rsid w:val="00AA6471"/>
    <w:rsid w:val="00AA6890"/>
    <w:rsid w:val="00AA7AE4"/>
    <w:rsid w:val="00AA7D33"/>
    <w:rsid w:val="00AB0FC3"/>
    <w:rsid w:val="00AB15AF"/>
    <w:rsid w:val="00AB1FBA"/>
    <w:rsid w:val="00AB2EA6"/>
    <w:rsid w:val="00AB2EED"/>
    <w:rsid w:val="00AB3396"/>
    <w:rsid w:val="00AB6E90"/>
    <w:rsid w:val="00AC12C3"/>
    <w:rsid w:val="00AC5715"/>
    <w:rsid w:val="00AC608D"/>
    <w:rsid w:val="00AC708F"/>
    <w:rsid w:val="00AC7150"/>
    <w:rsid w:val="00AD1C7A"/>
    <w:rsid w:val="00AD1CF0"/>
    <w:rsid w:val="00AD3554"/>
    <w:rsid w:val="00AD537A"/>
    <w:rsid w:val="00AD6F09"/>
    <w:rsid w:val="00AE021E"/>
    <w:rsid w:val="00AE04D9"/>
    <w:rsid w:val="00AE1E2C"/>
    <w:rsid w:val="00AE445D"/>
    <w:rsid w:val="00AE55F3"/>
    <w:rsid w:val="00AF02BE"/>
    <w:rsid w:val="00AF02E5"/>
    <w:rsid w:val="00AF0711"/>
    <w:rsid w:val="00AF3455"/>
    <w:rsid w:val="00AF55F6"/>
    <w:rsid w:val="00B041A0"/>
    <w:rsid w:val="00B05072"/>
    <w:rsid w:val="00B055B3"/>
    <w:rsid w:val="00B0731D"/>
    <w:rsid w:val="00B0736F"/>
    <w:rsid w:val="00B10B26"/>
    <w:rsid w:val="00B11651"/>
    <w:rsid w:val="00B11973"/>
    <w:rsid w:val="00B12A09"/>
    <w:rsid w:val="00B13752"/>
    <w:rsid w:val="00B137C5"/>
    <w:rsid w:val="00B13A28"/>
    <w:rsid w:val="00B154F1"/>
    <w:rsid w:val="00B200A6"/>
    <w:rsid w:val="00B21060"/>
    <w:rsid w:val="00B21674"/>
    <w:rsid w:val="00B21DC0"/>
    <w:rsid w:val="00B22407"/>
    <w:rsid w:val="00B23267"/>
    <w:rsid w:val="00B25377"/>
    <w:rsid w:val="00B26CBC"/>
    <w:rsid w:val="00B3131C"/>
    <w:rsid w:val="00B35278"/>
    <w:rsid w:val="00B35900"/>
    <w:rsid w:val="00B36301"/>
    <w:rsid w:val="00B36F38"/>
    <w:rsid w:val="00B3757B"/>
    <w:rsid w:val="00B402CD"/>
    <w:rsid w:val="00B40C0F"/>
    <w:rsid w:val="00B41EA0"/>
    <w:rsid w:val="00B42059"/>
    <w:rsid w:val="00B44CAB"/>
    <w:rsid w:val="00B458F9"/>
    <w:rsid w:val="00B45F56"/>
    <w:rsid w:val="00B47314"/>
    <w:rsid w:val="00B47D22"/>
    <w:rsid w:val="00B5166A"/>
    <w:rsid w:val="00B528CF"/>
    <w:rsid w:val="00B5336F"/>
    <w:rsid w:val="00B54D85"/>
    <w:rsid w:val="00B552E8"/>
    <w:rsid w:val="00B6199C"/>
    <w:rsid w:val="00B67824"/>
    <w:rsid w:val="00B678C2"/>
    <w:rsid w:val="00B67A26"/>
    <w:rsid w:val="00B70AA5"/>
    <w:rsid w:val="00B71DD4"/>
    <w:rsid w:val="00B72188"/>
    <w:rsid w:val="00B72F32"/>
    <w:rsid w:val="00B755F9"/>
    <w:rsid w:val="00B75FF2"/>
    <w:rsid w:val="00B77C25"/>
    <w:rsid w:val="00B77CC8"/>
    <w:rsid w:val="00B80FF7"/>
    <w:rsid w:val="00B81AB3"/>
    <w:rsid w:val="00B825E1"/>
    <w:rsid w:val="00B8265D"/>
    <w:rsid w:val="00B836EB"/>
    <w:rsid w:val="00B874CA"/>
    <w:rsid w:val="00B87B2B"/>
    <w:rsid w:val="00B90381"/>
    <w:rsid w:val="00B91662"/>
    <w:rsid w:val="00B92AC5"/>
    <w:rsid w:val="00B935D7"/>
    <w:rsid w:val="00B940D0"/>
    <w:rsid w:val="00B94D66"/>
    <w:rsid w:val="00BA0361"/>
    <w:rsid w:val="00BA0A9F"/>
    <w:rsid w:val="00BA1AE5"/>
    <w:rsid w:val="00BA2462"/>
    <w:rsid w:val="00BA26E8"/>
    <w:rsid w:val="00BA2CB3"/>
    <w:rsid w:val="00BA7941"/>
    <w:rsid w:val="00BA7CE6"/>
    <w:rsid w:val="00BB0679"/>
    <w:rsid w:val="00BB2DE5"/>
    <w:rsid w:val="00BB3AEF"/>
    <w:rsid w:val="00BB43FD"/>
    <w:rsid w:val="00BB62A7"/>
    <w:rsid w:val="00BB6FA9"/>
    <w:rsid w:val="00BC244F"/>
    <w:rsid w:val="00BC3056"/>
    <w:rsid w:val="00BC35A5"/>
    <w:rsid w:val="00BC39A8"/>
    <w:rsid w:val="00BC3AC6"/>
    <w:rsid w:val="00BC44A7"/>
    <w:rsid w:val="00BC495C"/>
    <w:rsid w:val="00BC49FD"/>
    <w:rsid w:val="00BC4CA0"/>
    <w:rsid w:val="00BC5F15"/>
    <w:rsid w:val="00BC6049"/>
    <w:rsid w:val="00BC6FFE"/>
    <w:rsid w:val="00BD2B5B"/>
    <w:rsid w:val="00BD2E33"/>
    <w:rsid w:val="00BD3308"/>
    <w:rsid w:val="00BD4832"/>
    <w:rsid w:val="00BD5971"/>
    <w:rsid w:val="00BD703A"/>
    <w:rsid w:val="00BE01F4"/>
    <w:rsid w:val="00BE0BA7"/>
    <w:rsid w:val="00BE363F"/>
    <w:rsid w:val="00BE4051"/>
    <w:rsid w:val="00BE6A85"/>
    <w:rsid w:val="00BE7BCB"/>
    <w:rsid w:val="00BF0FF3"/>
    <w:rsid w:val="00BF259A"/>
    <w:rsid w:val="00BF6790"/>
    <w:rsid w:val="00C01319"/>
    <w:rsid w:val="00C01EF8"/>
    <w:rsid w:val="00C04F14"/>
    <w:rsid w:val="00C05D20"/>
    <w:rsid w:val="00C05E3A"/>
    <w:rsid w:val="00C0658C"/>
    <w:rsid w:val="00C104DA"/>
    <w:rsid w:val="00C12708"/>
    <w:rsid w:val="00C12B9B"/>
    <w:rsid w:val="00C12CFE"/>
    <w:rsid w:val="00C1368C"/>
    <w:rsid w:val="00C14883"/>
    <w:rsid w:val="00C14B40"/>
    <w:rsid w:val="00C14BD8"/>
    <w:rsid w:val="00C14C08"/>
    <w:rsid w:val="00C15B9E"/>
    <w:rsid w:val="00C15BD7"/>
    <w:rsid w:val="00C16E1A"/>
    <w:rsid w:val="00C17075"/>
    <w:rsid w:val="00C17665"/>
    <w:rsid w:val="00C17A4D"/>
    <w:rsid w:val="00C23183"/>
    <w:rsid w:val="00C23E51"/>
    <w:rsid w:val="00C24370"/>
    <w:rsid w:val="00C244E6"/>
    <w:rsid w:val="00C27B3C"/>
    <w:rsid w:val="00C301E9"/>
    <w:rsid w:val="00C30CE2"/>
    <w:rsid w:val="00C3318B"/>
    <w:rsid w:val="00C3498F"/>
    <w:rsid w:val="00C35085"/>
    <w:rsid w:val="00C44303"/>
    <w:rsid w:val="00C444AC"/>
    <w:rsid w:val="00C5020F"/>
    <w:rsid w:val="00C514A5"/>
    <w:rsid w:val="00C52504"/>
    <w:rsid w:val="00C53916"/>
    <w:rsid w:val="00C5570C"/>
    <w:rsid w:val="00C56073"/>
    <w:rsid w:val="00C56B34"/>
    <w:rsid w:val="00C57C25"/>
    <w:rsid w:val="00C603F8"/>
    <w:rsid w:val="00C60D06"/>
    <w:rsid w:val="00C61AF8"/>
    <w:rsid w:val="00C6244C"/>
    <w:rsid w:val="00C62541"/>
    <w:rsid w:val="00C64457"/>
    <w:rsid w:val="00C651D7"/>
    <w:rsid w:val="00C67855"/>
    <w:rsid w:val="00C71E96"/>
    <w:rsid w:val="00C725E4"/>
    <w:rsid w:val="00C73223"/>
    <w:rsid w:val="00C751BE"/>
    <w:rsid w:val="00C75838"/>
    <w:rsid w:val="00C75E3B"/>
    <w:rsid w:val="00C76441"/>
    <w:rsid w:val="00C805DC"/>
    <w:rsid w:val="00C80794"/>
    <w:rsid w:val="00C815A7"/>
    <w:rsid w:val="00C81D28"/>
    <w:rsid w:val="00C82AD0"/>
    <w:rsid w:val="00C83A37"/>
    <w:rsid w:val="00C86387"/>
    <w:rsid w:val="00C86801"/>
    <w:rsid w:val="00C86EE9"/>
    <w:rsid w:val="00C878BC"/>
    <w:rsid w:val="00C93434"/>
    <w:rsid w:val="00C94564"/>
    <w:rsid w:val="00C95B05"/>
    <w:rsid w:val="00C971A0"/>
    <w:rsid w:val="00CA0092"/>
    <w:rsid w:val="00CA0352"/>
    <w:rsid w:val="00CA1A36"/>
    <w:rsid w:val="00CA447C"/>
    <w:rsid w:val="00CA7B9B"/>
    <w:rsid w:val="00CB1892"/>
    <w:rsid w:val="00CB1B2A"/>
    <w:rsid w:val="00CB2796"/>
    <w:rsid w:val="00CB2EB2"/>
    <w:rsid w:val="00CB34CE"/>
    <w:rsid w:val="00CB36A5"/>
    <w:rsid w:val="00CB5641"/>
    <w:rsid w:val="00CB60C0"/>
    <w:rsid w:val="00CB63B7"/>
    <w:rsid w:val="00CC002C"/>
    <w:rsid w:val="00CC0840"/>
    <w:rsid w:val="00CC2B8D"/>
    <w:rsid w:val="00CC4CBE"/>
    <w:rsid w:val="00CC4E29"/>
    <w:rsid w:val="00CC5685"/>
    <w:rsid w:val="00CC5B77"/>
    <w:rsid w:val="00CC68CD"/>
    <w:rsid w:val="00CC69DC"/>
    <w:rsid w:val="00CD1578"/>
    <w:rsid w:val="00CD1D1C"/>
    <w:rsid w:val="00CD2101"/>
    <w:rsid w:val="00CD61AE"/>
    <w:rsid w:val="00CD7CED"/>
    <w:rsid w:val="00CD7ED7"/>
    <w:rsid w:val="00CE1296"/>
    <w:rsid w:val="00CE2CB1"/>
    <w:rsid w:val="00CE32C7"/>
    <w:rsid w:val="00CE3836"/>
    <w:rsid w:val="00CE4EBB"/>
    <w:rsid w:val="00CE62A7"/>
    <w:rsid w:val="00CE741C"/>
    <w:rsid w:val="00CE7B4D"/>
    <w:rsid w:val="00CF1627"/>
    <w:rsid w:val="00CF16AE"/>
    <w:rsid w:val="00CF21CB"/>
    <w:rsid w:val="00CF274E"/>
    <w:rsid w:val="00CF3C23"/>
    <w:rsid w:val="00CF3D81"/>
    <w:rsid w:val="00CF55D9"/>
    <w:rsid w:val="00CF5AE3"/>
    <w:rsid w:val="00CF684A"/>
    <w:rsid w:val="00CF7424"/>
    <w:rsid w:val="00CF76B5"/>
    <w:rsid w:val="00CF7A35"/>
    <w:rsid w:val="00D009ED"/>
    <w:rsid w:val="00D0110F"/>
    <w:rsid w:val="00D016E7"/>
    <w:rsid w:val="00D02B60"/>
    <w:rsid w:val="00D03B0C"/>
    <w:rsid w:val="00D044B3"/>
    <w:rsid w:val="00D049B2"/>
    <w:rsid w:val="00D06022"/>
    <w:rsid w:val="00D06267"/>
    <w:rsid w:val="00D079E7"/>
    <w:rsid w:val="00D10539"/>
    <w:rsid w:val="00D10BA7"/>
    <w:rsid w:val="00D1283A"/>
    <w:rsid w:val="00D12A8E"/>
    <w:rsid w:val="00D135C9"/>
    <w:rsid w:val="00D13F00"/>
    <w:rsid w:val="00D1485A"/>
    <w:rsid w:val="00D15E5E"/>
    <w:rsid w:val="00D17521"/>
    <w:rsid w:val="00D175C9"/>
    <w:rsid w:val="00D20DAD"/>
    <w:rsid w:val="00D2100B"/>
    <w:rsid w:val="00D214FB"/>
    <w:rsid w:val="00D24116"/>
    <w:rsid w:val="00D268F5"/>
    <w:rsid w:val="00D270D4"/>
    <w:rsid w:val="00D30AEF"/>
    <w:rsid w:val="00D30FD7"/>
    <w:rsid w:val="00D32A7C"/>
    <w:rsid w:val="00D33F27"/>
    <w:rsid w:val="00D35761"/>
    <w:rsid w:val="00D37786"/>
    <w:rsid w:val="00D42120"/>
    <w:rsid w:val="00D44A31"/>
    <w:rsid w:val="00D45098"/>
    <w:rsid w:val="00D51AFA"/>
    <w:rsid w:val="00D53602"/>
    <w:rsid w:val="00D53678"/>
    <w:rsid w:val="00D545C9"/>
    <w:rsid w:val="00D5561A"/>
    <w:rsid w:val="00D62E5C"/>
    <w:rsid w:val="00D634D1"/>
    <w:rsid w:val="00D648C6"/>
    <w:rsid w:val="00D65BFB"/>
    <w:rsid w:val="00D67C03"/>
    <w:rsid w:val="00D70ADB"/>
    <w:rsid w:val="00D711F8"/>
    <w:rsid w:val="00D72031"/>
    <w:rsid w:val="00D72E6E"/>
    <w:rsid w:val="00D73C80"/>
    <w:rsid w:val="00D751E6"/>
    <w:rsid w:val="00D776CE"/>
    <w:rsid w:val="00D80502"/>
    <w:rsid w:val="00D831C0"/>
    <w:rsid w:val="00D8388D"/>
    <w:rsid w:val="00D83D23"/>
    <w:rsid w:val="00D8467D"/>
    <w:rsid w:val="00D86427"/>
    <w:rsid w:val="00D915CC"/>
    <w:rsid w:val="00D9242E"/>
    <w:rsid w:val="00D9288A"/>
    <w:rsid w:val="00D92BB9"/>
    <w:rsid w:val="00D940A0"/>
    <w:rsid w:val="00DA0027"/>
    <w:rsid w:val="00DA0549"/>
    <w:rsid w:val="00DA301A"/>
    <w:rsid w:val="00DA3255"/>
    <w:rsid w:val="00DA6A37"/>
    <w:rsid w:val="00DB099D"/>
    <w:rsid w:val="00DB207C"/>
    <w:rsid w:val="00DB437B"/>
    <w:rsid w:val="00DB5B4E"/>
    <w:rsid w:val="00DB5BFD"/>
    <w:rsid w:val="00DB6344"/>
    <w:rsid w:val="00DC03C0"/>
    <w:rsid w:val="00DC0634"/>
    <w:rsid w:val="00DC0C27"/>
    <w:rsid w:val="00DC17EF"/>
    <w:rsid w:val="00DC4600"/>
    <w:rsid w:val="00DC4D36"/>
    <w:rsid w:val="00DC4F44"/>
    <w:rsid w:val="00DC6F56"/>
    <w:rsid w:val="00DD0A0D"/>
    <w:rsid w:val="00DD19C6"/>
    <w:rsid w:val="00DD19FE"/>
    <w:rsid w:val="00DD287F"/>
    <w:rsid w:val="00DD3A06"/>
    <w:rsid w:val="00DD4F2E"/>
    <w:rsid w:val="00DD52B9"/>
    <w:rsid w:val="00DD6A22"/>
    <w:rsid w:val="00DD7E68"/>
    <w:rsid w:val="00DD7ED6"/>
    <w:rsid w:val="00DD7FD8"/>
    <w:rsid w:val="00DE2F59"/>
    <w:rsid w:val="00DE58DF"/>
    <w:rsid w:val="00DE6EFD"/>
    <w:rsid w:val="00DF1F12"/>
    <w:rsid w:val="00DF247E"/>
    <w:rsid w:val="00DF2F9D"/>
    <w:rsid w:val="00DF342B"/>
    <w:rsid w:val="00DF42F6"/>
    <w:rsid w:val="00DF5E02"/>
    <w:rsid w:val="00DF687C"/>
    <w:rsid w:val="00DFC739"/>
    <w:rsid w:val="00E00B7D"/>
    <w:rsid w:val="00E0264E"/>
    <w:rsid w:val="00E034D0"/>
    <w:rsid w:val="00E0365C"/>
    <w:rsid w:val="00E03F7C"/>
    <w:rsid w:val="00E06708"/>
    <w:rsid w:val="00E07E4D"/>
    <w:rsid w:val="00E10E4A"/>
    <w:rsid w:val="00E132F3"/>
    <w:rsid w:val="00E13327"/>
    <w:rsid w:val="00E136F9"/>
    <w:rsid w:val="00E13A66"/>
    <w:rsid w:val="00E14F56"/>
    <w:rsid w:val="00E15645"/>
    <w:rsid w:val="00E15A13"/>
    <w:rsid w:val="00E15D88"/>
    <w:rsid w:val="00E163F7"/>
    <w:rsid w:val="00E20F86"/>
    <w:rsid w:val="00E2153F"/>
    <w:rsid w:val="00E21E8B"/>
    <w:rsid w:val="00E230B1"/>
    <w:rsid w:val="00E2367E"/>
    <w:rsid w:val="00E24806"/>
    <w:rsid w:val="00E27AAF"/>
    <w:rsid w:val="00E306FA"/>
    <w:rsid w:val="00E309F0"/>
    <w:rsid w:val="00E30B7F"/>
    <w:rsid w:val="00E322FF"/>
    <w:rsid w:val="00E32FB9"/>
    <w:rsid w:val="00E35820"/>
    <w:rsid w:val="00E3647F"/>
    <w:rsid w:val="00E368A6"/>
    <w:rsid w:val="00E374FE"/>
    <w:rsid w:val="00E377FB"/>
    <w:rsid w:val="00E41C80"/>
    <w:rsid w:val="00E46F2B"/>
    <w:rsid w:val="00E50543"/>
    <w:rsid w:val="00E50609"/>
    <w:rsid w:val="00E53089"/>
    <w:rsid w:val="00E54BC4"/>
    <w:rsid w:val="00E55343"/>
    <w:rsid w:val="00E567C1"/>
    <w:rsid w:val="00E61B93"/>
    <w:rsid w:val="00E61E8D"/>
    <w:rsid w:val="00E63508"/>
    <w:rsid w:val="00E64F39"/>
    <w:rsid w:val="00E65A49"/>
    <w:rsid w:val="00E66935"/>
    <w:rsid w:val="00E67053"/>
    <w:rsid w:val="00E70A41"/>
    <w:rsid w:val="00E73029"/>
    <w:rsid w:val="00E73297"/>
    <w:rsid w:val="00E754AB"/>
    <w:rsid w:val="00E76E11"/>
    <w:rsid w:val="00E81B01"/>
    <w:rsid w:val="00E82A1F"/>
    <w:rsid w:val="00E8310A"/>
    <w:rsid w:val="00E85A14"/>
    <w:rsid w:val="00E87230"/>
    <w:rsid w:val="00E8727A"/>
    <w:rsid w:val="00E876AB"/>
    <w:rsid w:val="00E90A1E"/>
    <w:rsid w:val="00E91DA8"/>
    <w:rsid w:val="00E92CBE"/>
    <w:rsid w:val="00E96C32"/>
    <w:rsid w:val="00E97047"/>
    <w:rsid w:val="00E9755C"/>
    <w:rsid w:val="00E97EA6"/>
    <w:rsid w:val="00EA0370"/>
    <w:rsid w:val="00EA108A"/>
    <w:rsid w:val="00EA7F0A"/>
    <w:rsid w:val="00EB03C0"/>
    <w:rsid w:val="00EB3374"/>
    <w:rsid w:val="00EB3AEF"/>
    <w:rsid w:val="00EB4756"/>
    <w:rsid w:val="00EB734A"/>
    <w:rsid w:val="00EB7C67"/>
    <w:rsid w:val="00EC0B0C"/>
    <w:rsid w:val="00EC1896"/>
    <w:rsid w:val="00EC2FB4"/>
    <w:rsid w:val="00EC3626"/>
    <w:rsid w:val="00EC4120"/>
    <w:rsid w:val="00EC4A6E"/>
    <w:rsid w:val="00EC5E85"/>
    <w:rsid w:val="00EC741D"/>
    <w:rsid w:val="00ED00DF"/>
    <w:rsid w:val="00ED0324"/>
    <w:rsid w:val="00ED2F98"/>
    <w:rsid w:val="00ED43CD"/>
    <w:rsid w:val="00ED5B74"/>
    <w:rsid w:val="00ED5B85"/>
    <w:rsid w:val="00ED710D"/>
    <w:rsid w:val="00EE0868"/>
    <w:rsid w:val="00EE11A7"/>
    <w:rsid w:val="00EE2A05"/>
    <w:rsid w:val="00EE3088"/>
    <w:rsid w:val="00EE583C"/>
    <w:rsid w:val="00EE6C15"/>
    <w:rsid w:val="00EE6D38"/>
    <w:rsid w:val="00EF085A"/>
    <w:rsid w:val="00F00395"/>
    <w:rsid w:val="00F00A55"/>
    <w:rsid w:val="00F01AB0"/>
    <w:rsid w:val="00F04D6B"/>
    <w:rsid w:val="00F06200"/>
    <w:rsid w:val="00F12B7C"/>
    <w:rsid w:val="00F136A7"/>
    <w:rsid w:val="00F13A4D"/>
    <w:rsid w:val="00F14758"/>
    <w:rsid w:val="00F1706E"/>
    <w:rsid w:val="00F17ACE"/>
    <w:rsid w:val="00F2071A"/>
    <w:rsid w:val="00F20AF9"/>
    <w:rsid w:val="00F23F22"/>
    <w:rsid w:val="00F24458"/>
    <w:rsid w:val="00F24A85"/>
    <w:rsid w:val="00F25432"/>
    <w:rsid w:val="00F308C1"/>
    <w:rsid w:val="00F326F7"/>
    <w:rsid w:val="00F32BB5"/>
    <w:rsid w:val="00F34E5A"/>
    <w:rsid w:val="00F35522"/>
    <w:rsid w:val="00F35577"/>
    <w:rsid w:val="00F35C1A"/>
    <w:rsid w:val="00F373F5"/>
    <w:rsid w:val="00F376B0"/>
    <w:rsid w:val="00F408B8"/>
    <w:rsid w:val="00F41CC5"/>
    <w:rsid w:val="00F43DB4"/>
    <w:rsid w:val="00F53BBE"/>
    <w:rsid w:val="00F5440B"/>
    <w:rsid w:val="00F5523A"/>
    <w:rsid w:val="00F5591F"/>
    <w:rsid w:val="00F567DD"/>
    <w:rsid w:val="00F569BE"/>
    <w:rsid w:val="00F574F5"/>
    <w:rsid w:val="00F579A1"/>
    <w:rsid w:val="00F6038F"/>
    <w:rsid w:val="00F622BC"/>
    <w:rsid w:val="00F65252"/>
    <w:rsid w:val="00F65E5F"/>
    <w:rsid w:val="00F702CF"/>
    <w:rsid w:val="00F70B6D"/>
    <w:rsid w:val="00F71605"/>
    <w:rsid w:val="00F717CD"/>
    <w:rsid w:val="00F72DC2"/>
    <w:rsid w:val="00F734DA"/>
    <w:rsid w:val="00F77675"/>
    <w:rsid w:val="00F77E8F"/>
    <w:rsid w:val="00F77EA7"/>
    <w:rsid w:val="00F80BA8"/>
    <w:rsid w:val="00F80ECF"/>
    <w:rsid w:val="00F818F6"/>
    <w:rsid w:val="00F8270E"/>
    <w:rsid w:val="00F846A5"/>
    <w:rsid w:val="00F85874"/>
    <w:rsid w:val="00F85D27"/>
    <w:rsid w:val="00F87235"/>
    <w:rsid w:val="00F90A3F"/>
    <w:rsid w:val="00F92DC7"/>
    <w:rsid w:val="00F9400F"/>
    <w:rsid w:val="00F9425A"/>
    <w:rsid w:val="00F94A4D"/>
    <w:rsid w:val="00F94EB4"/>
    <w:rsid w:val="00F97A20"/>
    <w:rsid w:val="00F97FD2"/>
    <w:rsid w:val="00FA0A48"/>
    <w:rsid w:val="00FA0B9C"/>
    <w:rsid w:val="00FA14F5"/>
    <w:rsid w:val="00FA1F53"/>
    <w:rsid w:val="00FA44D6"/>
    <w:rsid w:val="00FB0805"/>
    <w:rsid w:val="00FB418E"/>
    <w:rsid w:val="00FB4E49"/>
    <w:rsid w:val="00FB5A63"/>
    <w:rsid w:val="00FB6FB4"/>
    <w:rsid w:val="00FC0461"/>
    <w:rsid w:val="00FC0A67"/>
    <w:rsid w:val="00FC11C5"/>
    <w:rsid w:val="00FD11A4"/>
    <w:rsid w:val="00FD35EB"/>
    <w:rsid w:val="00FD42F6"/>
    <w:rsid w:val="00FD5594"/>
    <w:rsid w:val="00FD760B"/>
    <w:rsid w:val="00FE1273"/>
    <w:rsid w:val="00FE14E5"/>
    <w:rsid w:val="00FE154D"/>
    <w:rsid w:val="00FE211A"/>
    <w:rsid w:val="00FF083B"/>
    <w:rsid w:val="00FF23DA"/>
    <w:rsid w:val="00FF6AA3"/>
    <w:rsid w:val="01863678"/>
    <w:rsid w:val="02ABE483"/>
    <w:rsid w:val="03AF4EB6"/>
    <w:rsid w:val="03D69554"/>
    <w:rsid w:val="05223F5D"/>
    <w:rsid w:val="05BD7485"/>
    <w:rsid w:val="05CBC261"/>
    <w:rsid w:val="0747DAE8"/>
    <w:rsid w:val="07CC11E2"/>
    <w:rsid w:val="085BA74E"/>
    <w:rsid w:val="087B9A27"/>
    <w:rsid w:val="0BBD7263"/>
    <w:rsid w:val="0BE6C6A5"/>
    <w:rsid w:val="0CCF7C01"/>
    <w:rsid w:val="0D1F28DE"/>
    <w:rsid w:val="0DE39A8D"/>
    <w:rsid w:val="0F1DCFEF"/>
    <w:rsid w:val="103D2C4F"/>
    <w:rsid w:val="1060AB2C"/>
    <w:rsid w:val="11274FC8"/>
    <w:rsid w:val="1396ABC8"/>
    <w:rsid w:val="16A0A9E9"/>
    <w:rsid w:val="16A48E34"/>
    <w:rsid w:val="16A7CFA3"/>
    <w:rsid w:val="1743C72A"/>
    <w:rsid w:val="1799AC6D"/>
    <w:rsid w:val="19EFC6E7"/>
    <w:rsid w:val="19FF5955"/>
    <w:rsid w:val="1A1DF789"/>
    <w:rsid w:val="1BDFC010"/>
    <w:rsid w:val="1C13F055"/>
    <w:rsid w:val="1D63D15E"/>
    <w:rsid w:val="1E902434"/>
    <w:rsid w:val="1F102BD0"/>
    <w:rsid w:val="20154694"/>
    <w:rsid w:val="204D1C2A"/>
    <w:rsid w:val="205661D9"/>
    <w:rsid w:val="2155B064"/>
    <w:rsid w:val="22855970"/>
    <w:rsid w:val="22F780D4"/>
    <w:rsid w:val="23739CCD"/>
    <w:rsid w:val="24B7194C"/>
    <w:rsid w:val="24CA3D3B"/>
    <w:rsid w:val="24D84C7F"/>
    <w:rsid w:val="24F44E81"/>
    <w:rsid w:val="260C89F8"/>
    <w:rsid w:val="26B988B8"/>
    <w:rsid w:val="2742E482"/>
    <w:rsid w:val="286BF34B"/>
    <w:rsid w:val="28C79003"/>
    <w:rsid w:val="2AAA64A1"/>
    <w:rsid w:val="2B2D21F4"/>
    <w:rsid w:val="2B54D7C4"/>
    <w:rsid w:val="2F2062C5"/>
    <w:rsid w:val="30377B98"/>
    <w:rsid w:val="30A6F0D5"/>
    <w:rsid w:val="31B172B2"/>
    <w:rsid w:val="326FE5F6"/>
    <w:rsid w:val="34577674"/>
    <w:rsid w:val="353F0CDE"/>
    <w:rsid w:val="35B819F7"/>
    <w:rsid w:val="35D75028"/>
    <w:rsid w:val="38654F45"/>
    <w:rsid w:val="3925AF54"/>
    <w:rsid w:val="3C07B874"/>
    <w:rsid w:val="3C2D2147"/>
    <w:rsid w:val="3CB46401"/>
    <w:rsid w:val="4038CB80"/>
    <w:rsid w:val="41CDCBDD"/>
    <w:rsid w:val="466BB7D0"/>
    <w:rsid w:val="474FA0B2"/>
    <w:rsid w:val="47662442"/>
    <w:rsid w:val="4796BA5A"/>
    <w:rsid w:val="4938C1AE"/>
    <w:rsid w:val="495DCA2B"/>
    <w:rsid w:val="49697808"/>
    <w:rsid w:val="4B209FC6"/>
    <w:rsid w:val="4C7C4191"/>
    <w:rsid w:val="4D4087E5"/>
    <w:rsid w:val="4D754D28"/>
    <w:rsid w:val="4F2948CC"/>
    <w:rsid w:val="4F887967"/>
    <w:rsid w:val="4FBEDBF6"/>
    <w:rsid w:val="5068DEF8"/>
    <w:rsid w:val="50864EDE"/>
    <w:rsid w:val="50A56F22"/>
    <w:rsid w:val="514F7B61"/>
    <w:rsid w:val="51E18384"/>
    <w:rsid w:val="5234340D"/>
    <w:rsid w:val="53DA8B1B"/>
    <w:rsid w:val="53F906DC"/>
    <w:rsid w:val="5627E638"/>
    <w:rsid w:val="5734F229"/>
    <w:rsid w:val="58A48DAE"/>
    <w:rsid w:val="5AF9723D"/>
    <w:rsid w:val="5B869058"/>
    <w:rsid w:val="5BAB08C4"/>
    <w:rsid w:val="5D04325D"/>
    <w:rsid w:val="5D1BE4F9"/>
    <w:rsid w:val="5D6418F8"/>
    <w:rsid w:val="5E342070"/>
    <w:rsid w:val="5ED591F9"/>
    <w:rsid w:val="5F3FFE89"/>
    <w:rsid w:val="5F41D50E"/>
    <w:rsid w:val="64F1E498"/>
    <w:rsid w:val="67385EA3"/>
    <w:rsid w:val="681B3448"/>
    <w:rsid w:val="6930A3E4"/>
    <w:rsid w:val="6A6B7907"/>
    <w:rsid w:val="6B87B224"/>
    <w:rsid w:val="6E55405E"/>
    <w:rsid w:val="710B3888"/>
    <w:rsid w:val="716ED421"/>
    <w:rsid w:val="7185A3A2"/>
    <w:rsid w:val="73FBD2A5"/>
    <w:rsid w:val="76B0E7AC"/>
    <w:rsid w:val="771A4A90"/>
    <w:rsid w:val="77FB3E1A"/>
    <w:rsid w:val="78955FA9"/>
    <w:rsid w:val="799CD920"/>
    <w:rsid w:val="7AB50D64"/>
    <w:rsid w:val="7B2FB7AE"/>
    <w:rsid w:val="7B8A01DB"/>
    <w:rsid w:val="7BB49C51"/>
    <w:rsid w:val="7C9DF244"/>
    <w:rsid w:val="7D446DD4"/>
    <w:rsid w:val="7D4F9BDB"/>
    <w:rsid w:val="7EA45E34"/>
    <w:rsid w:val="7EC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9A088"/>
  <w15:chartTrackingRefBased/>
  <w15:docId w15:val="{8FAF9031-2E96-42BF-81D9-BBB0186B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AB7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95365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C52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525A"/>
  </w:style>
  <w:style w:type="paragraph" w:styleId="Textoindependiente">
    <w:name w:val="Body Text"/>
    <w:basedOn w:val="Normal"/>
    <w:link w:val="TextoindependienteCar"/>
    <w:rsid w:val="000C525A"/>
    <w:pPr>
      <w:jc w:val="center"/>
    </w:pPr>
    <w:rPr>
      <w:color w:val="000000"/>
    </w:rPr>
  </w:style>
  <w:style w:type="paragraph" w:customStyle="1" w:styleId="Textoindependiente21">
    <w:name w:val="Texto independiente 21"/>
    <w:basedOn w:val="Normal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styleId="Refdenotaalpie">
    <w:name w:val="footnote reference"/>
    <w:rsid w:val="00752D41"/>
    <w:rPr>
      <w:rFonts w:ascii="Tahoma" w:hAnsi="Tahoma"/>
      <w:sz w:val="20"/>
      <w:szCs w:val="20"/>
      <w:vertAlign w:val="superscript"/>
    </w:rPr>
  </w:style>
  <w:style w:type="paragraph" w:styleId="Textodeglobo">
    <w:name w:val="Balloon Text"/>
    <w:basedOn w:val="Normal"/>
    <w:link w:val="TextodegloboCar"/>
    <w:semiHidden/>
    <w:rsid w:val="00E32FB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D59E1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D59E1"/>
    <w:rPr>
      <w:rFonts w:ascii="Arial" w:hAnsi="Arial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rsid w:val="007D59E1"/>
    <w:rPr>
      <w:rFonts w:ascii="Arial" w:hAnsi="Arial"/>
      <w:b/>
      <w:bCs/>
      <w:sz w:val="22"/>
      <w:lang w:val="es-ES" w:eastAsia="es-ES"/>
    </w:rPr>
  </w:style>
  <w:style w:type="character" w:customStyle="1" w:styleId="Ttulo2Car">
    <w:name w:val="Título 2 Car"/>
    <w:link w:val="Ttulo2"/>
    <w:rsid w:val="007D59E1"/>
    <w:rPr>
      <w:rFonts w:ascii="Arial" w:hAnsi="Arial"/>
      <w:b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Refdecomentario">
    <w:name w:val="annotation reference"/>
    <w:uiPriority w:val="99"/>
    <w:rsid w:val="00CA1A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A1A3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A1A36"/>
    <w:rPr>
      <w:b/>
      <w:bCs/>
    </w:rPr>
  </w:style>
  <w:style w:type="character" w:customStyle="1" w:styleId="AsuntodelcomentarioCar">
    <w:name w:val="Asunto del comentario Car"/>
    <w:link w:val="Asuntodelcomentario"/>
    <w:rsid w:val="00CA1A36"/>
    <w:rPr>
      <w:rFonts w:ascii="Arial" w:hAnsi="Arial"/>
      <w:b/>
      <w:bCs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uiPriority w:val="20"/>
    <w:qFormat/>
    <w:rsid w:val="00161339"/>
    <w:rPr>
      <w:i/>
      <w:iCs/>
    </w:rPr>
  </w:style>
  <w:style w:type="table" w:styleId="Tablaconcuadrcula">
    <w:name w:val="Table Grid"/>
    <w:basedOn w:val="Tablanormal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8412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72DC2"/>
    <w:rPr>
      <w:rFonts w:ascii="Arial" w:hAnsi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57156D"/>
    <w:rPr>
      <w:rFonts w:ascii="Arial" w:hAnsi="Arial"/>
      <w:color w:val="000000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82056"/>
    <w:rPr>
      <w:rFonts w:ascii="Arial" w:hAnsi="Arial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395365"/>
    <w:rPr>
      <w:rFonts w:ascii="Calibri" w:hAnsi="Calibri"/>
      <w:sz w:val="24"/>
      <w:szCs w:val="24"/>
      <w:lang w:val="es-ES_tradnl" w:eastAsia="es-ES"/>
    </w:rPr>
  </w:style>
  <w:style w:type="paragraph" w:customStyle="1" w:styleId="Textoindependiente22">
    <w:name w:val="Texto independiente 22"/>
    <w:basedOn w:val="Normal"/>
    <w:rsid w:val="00395365"/>
    <w:pPr>
      <w:widowControl/>
      <w:autoSpaceDE/>
      <w:autoSpaceDN/>
      <w:adjustRightInd/>
      <w:spacing w:after="0"/>
    </w:pPr>
    <w:rPr>
      <w:szCs w:val="20"/>
    </w:rPr>
  </w:style>
  <w:style w:type="character" w:customStyle="1" w:styleId="TextodegloboCar">
    <w:name w:val="Texto de globo Car"/>
    <w:basedOn w:val="Fuentedeprrafopredeter"/>
    <w:link w:val="Textodeglobo"/>
    <w:semiHidden/>
    <w:rsid w:val="00395365"/>
    <w:rPr>
      <w:rFonts w:ascii="Tahoma" w:hAnsi="Tahoma" w:cs="Tahoma"/>
      <w:sz w:val="16"/>
      <w:szCs w:val="16"/>
      <w:lang w:val="es-ES_tradnl" w:eastAsia="es-ES"/>
    </w:rPr>
  </w:style>
  <w:style w:type="paragraph" w:customStyle="1" w:styleId="FR1">
    <w:name w:val="FR1"/>
    <w:rsid w:val="00395365"/>
    <w:pPr>
      <w:widowControl w:val="0"/>
      <w:autoSpaceDE w:val="0"/>
      <w:autoSpaceDN w:val="0"/>
      <w:adjustRightInd w:val="0"/>
      <w:spacing w:before="260" w:line="300" w:lineRule="auto"/>
      <w:jc w:val="both"/>
    </w:pPr>
    <w:rPr>
      <w:sz w:val="28"/>
      <w:lang w:val="es-ES_tradnl" w:eastAsia="es-ES"/>
    </w:rPr>
  </w:style>
  <w:style w:type="paragraph" w:customStyle="1" w:styleId="xmsonormal">
    <w:name w:val="x_msonormal"/>
    <w:basedOn w:val="Normal"/>
    <w:rsid w:val="0039536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paragraph" w:styleId="Revisin">
    <w:name w:val="Revision"/>
    <w:hidden/>
    <w:uiPriority w:val="99"/>
    <w:semiHidden/>
    <w:rsid w:val="00395365"/>
    <w:rPr>
      <w:rFonts w:ascii="Arial" w:hAnsi="Arial"/>
      <w:sz w:val="24"/>
      <w:szCs w:val="24"/>
      <w:lang w:val="es-ES_tradnl" w:eastAsia="es-ES"/>
    </w:rPr>
  </w:style>
  <w:style w:type="character" w:customStyle="1" w:styleId="baj">
    <w:name w:val="b_aj"/>
    <w:rsid w:val="00395365"/>
  </w:style>
  <w:style w:type="character" w:customStyle="1" w:styleId="iaj">
    <w:name w:val="i_aj"/>
    <w:rsid w:val="00395365"/>
  </w:style>
  <w:style w:type="character" w:customStyle="1" w:styleId="normaltextrun">
    <w:name w:val="normaltextrun"/>
    <w:rsid w:val="00395365"/>
  </w:style>
  <w:style w:type="character" w:customStyle="1" w:styleId="eop">
    <w:name w:val="eop"/>
    <w:rsid w:val="00395365"/>
  </w:style>
  <w:style w:type="character" w:styleId="Hipervnculovisitado">
    <w:name w:val="FollowedHyperlink"/>
    <w:basedOn w:val="Fuentedeprrafopredeter"/>
    <w:uiPriority w:val="99"/>
    <w:unhideWhenUsed/>
    <w:rsid w:val="0039536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rsid w:val="00574079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74079"/>
    <w:rPr>
      <w:rFonts w:ascii="Arial" w:hAnsi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95BE1C5784DE498D8E92E70886F4E5" ma:contentTypeVersion="13" ma:contentTypeDescription="Crear nuevo documento." ma:contentTypeScope="" ma:versionID="916b79a04a6b0fee136d4e59a3f20064">
  <xsd:schema xmlns:xsd="http://www.w3.org/2001/XMLSchema" xmlns:xs="http://www.w3.org/2001/XMLSchema" xmlns:p="http://schemas.microsoft.com/office/2006/metadata/properties" xmlns:ns3="e836ba59-670f-4337-bd6c-579e1a13d40c" xmlns:ns4="ac9ad953-fae7-4a6e-a16b-a4e92b5d59c9" targetNamespace="http://schemas.microsoft.com/office/2006/metadata/properties" ma:root="true" ma:fieldsID="8ec356abe4e1315b82fbaa9c7fd3a885" ns3:_="" ns4:_="">
    <xsd:import namespace="e836ba59-670f-4337-bd6c-579e1a13d40c"/>
    <xsd:import namespace="ac9ad953-fae7-4a6e-a16b-a4e92b5d5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6ba59-670f-4337-bd6c-579e1a13d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ad953-fae7-4a6e-a16b-a4e92b5d5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AAA91-30DD-47A8-A984-727E8523AF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7E0CD0-E7B3-43F4-A15E-5F570A628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3C4FF-7F4E-4C10-A137-670BDAEBFC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45407-683B-4BD5-A4CF-7C70B6370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6ba59-670f-4337-bd6c-579e1a13d40c"/>
    <ds:schemaRef ds:uri="ac9ad953-fae7-4a6e-a16b-a4e92b5d5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B7CE08-34A6-4775-884C-47305ABCB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3309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>Hewlett-Packard</Company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CARLOS ALBERTO</dc:creator>
  <cp:keywords/>
  <cp:lastModifiedBy>Claudia Consuelo Martinez Becerra</cp:lastModifiedBy>
  <cp:revision>4</cp:revision>
  <cp:lastPrinted>2013-06-20T14:00:00Z</cp:lastPrinted>
  <dcterms:created xsi:type="dcterms:W3CDTF">2022-06-24T04:42:00Z</dcterms:created>
  <dcterms:modified xsi:type="dcterms:W3CDTF">2022-06-28T22:12:00Z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VCF33K6FRXU4-9-2809</vt:lpwstr>
  </property>
  <property fmtid="{D5CDD505-2E9C-101B-9397-08002B2CF9AE}" pid="3" name="_dlc_DocIdItemGuid">
    <vt:lpwstr>b2db33a5-d2a1-4b87-8292-22695b016261</vt:lpwstr>
  </property>
  <property fmtid="{D5CDD505-2E9C-101B-9397-08002B2CF9AE}" pid="4" name="_dlc_DocIdUrl">
    <vt:lpwstr>https://mintic.sharepoint.com/sites/mig/arquitectura/_layouts/15/DocIdRedir.aspx?ID=VCF33K6FRXU4-9-2809, VCF33K6FRXU4-9-2809</vt:lpwstr>
  </property>
  <property fmtid="{D5CDD505-2E9C-101B-9397-08002B2CF9AE}" pid="5" name="Order">
    <vt:lpwstr>42200.0000000000</vt:lpwstr>
  </property>
  <property fmtid="{D5CDD505-2E9C-101B-9397-08002B2CF9AE}" pid="6" name="Tipo de Documento">
    <vt:lpwstr>9</vt:lpwstr>
  </property>
  <property fmtid="{D5CDD505-2E9C-101B-9397-08002B2CF9AE}" pid="7" name="Vigencia">
    <vt:lpwstr>Vigente</vt:lpwstr>
  </property>
  <property fmtid="{D5CDD505-2E9C-101B-9397-08002B2CF9AE}" pid="8" name="ContentTypeId">
    <vt:lpwstr>0x0101007895BE1C5784DE498D8E92E70886F4E5</vt:lpwstr>
  </property>
</Properties>
</file>