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0" w:type="dxa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4"/>
        <w:gridCol w:w="4221"/>
        <w:gridCol w:w="3185"/>
      </w:tblGrid>
      <w:tr w:rsidR="005C4522" w:rsidRPr="009F7CED" w14:paraId="47329E86" w14:textId="77777777" w:rsidTr="00822D20">
        <w:trPr>
          <w:trHeight w:val="97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8AFF"/>
            <w:vAlign w:val="center"/>
          </w:tcPr>
          <w:p w14:paraId="764FD5BA" w14:textId="77777777" w:rsidR="0026513E" w:rsidRPr="00D965B1" w:rsidRDefault="00795C6B" w:rsidP="002264B8">
            <w:pPr>
              <w:pStyle w:val="Ttulo2"/>
              <w:ind w:right="72"/>
              <w:jc w:val="left"/>
              <w:rPr>
                <w:rFonts w:cs="Arial"/>
                <w:bCs/>
                <w:color w:val="FFFFFF"/>
                <w:sz w:val="22"/>
                <w:szCs w:val="22"/>
              </w:rPr>
            </w:pPr>
            <w:r w:rsidRPr="00D965B1">
              <w:rPr>
                <w:rFonts w:cs="Arial"/>
                <w:color w:val="FFFFFF"/>
                <w:sz w:val="22"/>
                <w:szCs w:val="22"/>
                <w:lang w:val="es-CO"/>
              </w:rPr>
              <w:t>Entidad</w:t>
            </w:r>
            <w:r w:rsidR="00086B16" w:rsidRPr="00D965B1">
              <w:rPr>
                <w:rFonts w:cs="Arial"/>
                <w:color w:val="FFFFFF"/>
                <w:sz w:val="22"/>
                <w:szCs w:val="22"/>
                <w:lang w:val="es-CO"/>
              </w:rPr>
              <w:t xml:space="preserve"> </w:t>
            </w:r>
            <w:r w:rsidRPr="00D965B1">
              <w:rPr>
                <w:rFonts w:cs="Arial"/>
                <w:color w:val="FFFFFF"/>
                <w:sz w:val="22"/>
                <w:szCs w:val="22"/>
                <w:lang w:val="es-CO"/>
              </w:rPr>
              <w:t>originadora</w:t>
            </w:r>
            <w:r w:rsidR="00293F29" w:rsidRPr="00D965B1">
              <w:rPr>
                <w:rFonts w:cs="Arial"/>
                <w:color w:val="FFFFFF"/>
                <w:sz w:val="22"/>
                <w:szCs w:val="22"/>
                <w:lang w:val="es-CO"/>
              </w:rPr>
              <w:t>:</w:t>
            </w:r>
          </w:p>
        </w:tc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72DBD" w14:textId="77777777" w:rsidR="0026513E" w:rsidRPr="00871ADF" w:rsidRDefault="00871ADF" w:rsidP="00871ADF">
            <w:pPr>
              <w:pStyle w:val="Ttulo2"/>
              <w:ind w:left="72" w:right="72"/>
              <w:jc w:val="both"/>
              <w:rPr>
                <w:rFonts w:cs="Arial"/>
                <w:b w:val="0"/>
                <w:i/>
                <w:color w:val="808080"/>
                <w:sz w:val="22"/>
                <w:szCs w:val="22"/>
              </w:rPr>
            </w:pPr>
            <w:r w:rsidRPr="00871ADF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Ministerio de Tecnologías de la Información y las Comunicaciones - MINTIC</w:t>
            </w:r>
          </w:p>
        </w:tc>
      </w:tr>
      <w:tr w:rsidR="005C4522" w:rsidRPr="009F7CED" w14:paraId="2D6F19A6" w14:textId="77777777" w:rsidTr="00822D20">
        <w:trPr>
          <w:trHeight w:val="97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8AFF"/>
            <w:vAlign w:val="center"/>
          </w:tcPr>
          <w:p w14:paraId="7BF8660C" w14:textId="77777777" w:rsidR="00C47F73" w:rsidRPr="00D965B1" w:rsidRDefault="0026513E" w:rsidP="002264B8">
            <w:pPr>
              <w:pStyle w:val="Ttulo2"/>
              <w:ind w:right="72"/>
              <w:jc w:val="left"/>
              <w:rPr>
                <w:rFonts w:cs="Arial"/>
                <w:bCs/>
                <w:color w:val="FFFFFF"/>
                <w:sz w:val="22"/>
                <w:szCs w:val="22"/>
              </w:rPr>
            </w:pPr>
            <w:r w:rsidRPr="00D965B1">
              <w:rPr>
                <w:rFonts w:cs="Arial"/>
                <w:bCs/>
                <w:color w:val="FFFFFF"/>
                <w:sz w:val="22"/>
                <w:szCs w:val="22"/>
              </w:rPr>
              <w:t>Fecha</w:t>
            </w:r>
            <w:r w:rsidR="00BB545F" w:rsidRPr="00D965B1">
              <w:rPr>
                <w:rFonts w:cs="Arial"/>
                <w:bCs/>
                <w:color w:val="FFFFFF"/>
                <w:sz w:val="22"/>
                <w:szCs w:val="22"/>
              </w:rPr>
              <w:t xml:space="preserve"> (</w:t>
            </w:r>
            <w:proofErr w:type="spellStart"/>
            <w:r w:rsidR="00BB545F" w:rsidRPr="00D965B1">
              <w:rPr>
                <w:rFonts w:cs="Arial"/>
                <w:bCs/>
                <w:color w:val="FFFFFF"/>
                <w:sz w:val="22"/>
                <w:szCs w:val="22"/>
              </w:rPr>
              <w:t>dd</w:t>
            </w:r>
            <w:proofErr w:type="spellEnd"/>
            <w:r w:rsidR="00BB545F" w:rsidRPr="00D965B1">
              <w:rPr>
                <w:rFonts w:cs="Arial"/>
                <w:bCs/>
                <w:color w:val="FFFFFF"/>
                <w:sz w:val="22"/>
                <w:szCs w:val="22"/>
              </w:rPr>
              <w:t>/mm/</w:t>
            </w:r>
            <w:proofErr w:type="spellStart"/>
            <w:r w:rsidR="00BB545F" w:rsidRPr="00D965B1">
              <w:rPr>
                <w:rFonts w:cs="Arial"/>
                <w:bCs/>
                <w:color w:val="FFFFFF"/>
                <w:sz w:val="22"/>
                <w:szCs w:val="22"/>
              </w:rPr>
              <w:t>aa</w:t>
            </w:r>
            <w:proofErr w:type="spellEnd"/>
            <w:r w:rsidR="00BB545F" w:rsidRPr="00D965B1">
              <w:rPr>
                <w:rFonts w:cs="Arial"/>
                <w:bCs/>
                <w:color w:val="FFFFFF"/>
                <w:sz w:val="22"/>
                <w:szCs w:val="22"/>
              </w:rPr>
              <w:t>)</w:t>
            </w:r>
            <w:r w:rsidR="00293F29" w:rsidRPr="00D965B1">
              <w:rPr>
                <w:rFonts w:cs="Arial"/>
                <w:bCs/>
                <w:color w:val="FFFFFF"/>
                <w:sz w:val="22"/>
                <w:szCs w:val="22"/>
              </w:rPr>
              <w:t>:</w:t>
            </w:r>
          </w:p>
        </w:tc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6FE5BB" w14:textId="77777777" w:rsidR="00C47F73" w:rsidRDefault="00C47F73" w:rsidP="005F30C3">
            <w:pPr>
              <w:pStyle w:val="Ttulo2"/>
              <w:ind w:left="72" w:right="72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76CCE4B6" w14:textId="396FE4AF" w:rsidR="0060613A" w:rsidRPr="0060613A" w:rsidRDefault="00C64D48" w:rsidP="00C64D48">
            <w:pPr>
              <w:pStyle w:val="Ttulo2"/>
              <w:ind w:left="72" w:right="72"/>
              <w:jc w:val="both"/>
            </w:pPr>
            <w:r w:rsidRPr="00C64D48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05</w:t>
            </w:r>
            <w:r w:rsidR="00024F70" w:rsidRPr="00C64D48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/10/2022</w:t>
            </w:r>
          </w:p>
        </w:tc>
      </w:tr>
      <w:tr w:rsidR="005C4522" w:rsidRPr="009F7CED" w14:paraId="4E5CD128" w14:textId="77777777" w:rsidTr="00822D20">
        <w:trPr>
          <w:trHeight w:val="97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8AFF"/>
            <w:vAlign w:val="center"/>
          </w:tcPr>
          <w:p w14:paraId="1A37AEC7" w14:textId="77777777" w:rsidR="0059316B" w:rsidRPr="00D965B1" w:rsidRDefault="00A55DB6" w:rsidP="002264B8">
            <w:pPr>
              <w:pStyle w:val="Ttulo2"/>
              <w:ind w:right="72"/>
              <w:jc w:val="left"/>
              <w:rPr>
                <w:rFonts w:cs="Arial"/>
                <w:bCs/>
                <w:color w:val="FFFFFF"/>
                <w:sz w:val="22"/>
                <w:szCs w:val="22"/>
              </w:rPr>
            </w:pPr>
            <w:r w:rsidRPr="00D965B1">
              <w:rPr>
                <w:rFonts w:cs="Arial"/>
                <w:bCs/>
                <w:color w:val="FFFFFF"/>
                <w:sz w:val="22"/>
                <w:szCs w:val="22"/>
              </w:rPr>
              <w:t xml:space="preserve">Proyecto de </w:t>
            </w:r>
            <w:r w:rsidR="00587695" w:rsidRPr="00D965B1">
              <w:rPr>
                <w:rFonts w:cs="Arial"/>
                <w:bCs/>
                <w:color w:val="FFFFFF"/>
                <w:sz w:val="22"/>
                <w:szCs w:val="22"/>
              </w:rPr>
              <w:t>D</w:t>
            </w:r>
            <w:r w:rsidRPr="00D965B1">
              <w:rPr>
                <w:rFonts w:cs="Arial"/>
                <w:bCs/>
                <w:color w:val="FFFFFF"/>
                <w:sz w:val="22"/>
                <w:szCs w:val="22"/>
              </w:rPr>
              <w:t>ecreto</w:t>
            </w:r>
            <w:r w:rsidR="00795C6B" w:rsidRPr="00D965B1">
              <w:rPr>
                <w:rFonts w:cs="Arial"/>
                <w:bCs/>
                <w:color w:val="FFFFFF"/>
                <w:sz w:val="22"/>
                <w:szCs w:val="22"/>
              </w:rPr>
              <w:t>/Resolución</w:t>
            </w:r>
            <w:r w:rsidR="00293F29" w:rsidRPr="00D965B1">
              <w:rPr>
                <w:rFonts w:cs="Arial"/>
                <w:bCs/>
                <w:color w:val="FFFFFF"/>
                <w:sz w:val="22"/>
                <w:szCs w:val="22"/>
              </w:rPr>
              <w:t>:</w:t>
            </w:r>
          </w:p>
        </w:tc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38C7FB" w14:textId="77777777" w:rsidR="001F238A" w:rsidRPr="00871ADF" w:rsidRDefault="00871ADF" w:rsidP="00871ADF">
            <w:pPr>
              <w:pStyle w:val="Ttulo2"/>
              <w:ind w:left="72" w:right="72"/>
              <w:jc w:val="both"/>
              <w:rPr>
                <w:rFonts w:cs="Arial"/>
                <w:spacing w:val="-3"/>
                <w:sz w:val="22"/>
                <w:szCs w:val="22"/>
              </w:rPr>
            </w:pPr>
            <w:r w:rsidRPr="00871ADF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“Por la cual se establece la Política de Tratamiento de Datos Personales del Ministerio/Fondo Único de Tecnologías de la Información y las Comunicaciones y se deroga la Resolución 924 de 2020”.</w:t>
            </w:r>
          </w:p>
        </w:tc>
      </w:tr>
      <w:tr w:rsidR="00DF60FD" w:rsidRPr="009F7CED" w14:paraId="60721DB8" w14:textId="77777777" w:rsidTr="00822D20">
        <w:trPr>
          <w:trHeight w:val="674"/>
        </w:trPr>
        <w:tc>
          <w:tcPr>
            <w:tcW w:w="1084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D0D7BA" w14:textId="77777777" w:rsidR="006315B4" w:rsidRPr="00024F70" w:rsidRDefault="006315B4" w:rsidP="00822D20">
            <w:pPr>
              <w:pStyle w:val="Ttulo2"/>
              <w:ind w:left="489" w:right="208"/>
              <w:jc w:val="both"/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3BF0DF80" w14:textId="77777777" w:rsidR="0095690D" w:rsidRPr="00024F70" w:rsidRDefault="0095690D" w:rsidP="00612F88">
            <w:pPr>
              <w:pStyle w:val="Ttulo2"/>
              <w:ind w:left="489" w:right="208"/>
              <w:jc w:val="both"/>
              <w:rPr>
                <w:rStyle w:val="normaltextrun"/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024F70">
              <w:rPr>
                <w:rStyle w:val="normaltextrun"/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ANTECEDENTES Y RAZONES DE OPORTUNIDAD Y CONVENIENCIA QUE JUSTIFICAN SU EXPEDICIÓN.</w:t>
            </w:r>
          </w:p>
          <w:p w14:paraId="22BAFEAE" w14:textId="77777777" w:rsidR="000611FF" w:rsidRPr="00941E80" w:rsidRDefault="000611FF" w:rsidP="00612F88">
            <w:pPr>
              <w:pStyle w:val="Ttulo2"/>
              <w:ind w:left="489" w:right="208"/>
              <w:jc w:val="both"/>
              <w:rPr>
                <w:rStyle w:val="normaltextrun"/>
                <w:rFonts w:ascii="Arial Narrow" w:hAnsi="Arial Narrow"/>
                <w:bCs/>
                <w:shd w:val="clear" w:color="auto" w:fill="FFFFFF"/>
              </w:rPr>
            </w:pPr>
          </w:p>
          <w:p w14:paraId="7AC91021" w14:textId="6B2C477F" w:rsidR="004A43D2" w:rsidRDefault="004A43D2" w:rsidP="00612F88">
            <w:pPr>
              <w:pStyle w:val="Ttulo2"/>
              <w:ind w:left="489" w:right="208"/>
              <w:jc w:val="both"/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611FF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El </w:t>
            </w:r>
            <w:r w:rsidR="0084682C" w:rsidRPr="000611FF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Ministerio/Fondo Único de TIC</w:t>
            </w:r>
            <w:r w:rsidRPr="000611FF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, para el ejercicio de sus funciones recolecta datos personales de los ciudadanos y los incorpora en bases de datos, así </w:t>
            </w:r>
            <w:r w:rsidR="00C04E1A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mismo,</w:t>
            </w:r>
            <w:r w:rsidRPr="000611FF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da tratamiento a la información allegada por otras entidades que está relacionada con este tipo de información.</w:t>
            </w:r>
          </w:p>
          <w:p w14:paraId="0E7CC7AA" w14:textId="77777777" w:rsidR="004A43D2" w:rsidRPr="000611FF" w:rsidRDefault="004A43D2" w:rsidP="00612F88">
            <w:pPr>
              <w:pStyle w:val="Ttulo2"/>
              <w:ind w:left="489" w:right="208"/>
              <w:jc w:val="both"/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1C68819F" w14:textId="1E54E17C" w:rsidR="00024F70" w:rsidRPr="001E7C66" w:rsidRDefault="004A43D2" w:rsidP="00612F88">
            <w:pPr>
              <w:ind w:left="489" w:right="208"/>
              <w:jc w:val="both"/>
            </w:pPr>
            <w:r w:rsidRPr="000611FF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El </w:t>
            </w:r>
            <w:r w:rsidR="0084682C" w:rsidRPr="000611FF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>Ministerio/Fondo Único de TIC</w:t>
            </w:r>
            <w:r w:rsidR="00941E80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024F70">
              <w:rPr>
                <w:rStyle w:val="normaltextrun"/>
                <w:rFonts w:ascii="Arial Narrow" w:hAnsi="Arial Narrow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mediante documento </w:t>
            </w:r>
            <w:r w:rsidR="00850777">
              <w:rPr>
                <w:rStyle w:val="normaltextrun"/>
                <w:rFonts w:ascii="Arial Narrow" w:hAnsi="Arial Narrow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del Modelo Integrado de Gestión con </w:t>
            </w:r>
            <w:r w:rsidR="001E7C66">
              <w:rPr>
                <w:rStyle w:val="normaltextrun"/>
                <w:rFonts w:ascii="Arial Narrow" w:hAnsi="Arial Narrow"/>
                <w:b/>
                <w:bCs/>
                <w:color w:val="000000"/>
                <w:sz w:val="22"/>
                <w:szCs w:val="22"/>
                <w:shd w:val="clear" w:color="auto" w:fill="FFFFFF"/>
              </w:rPr>
              <w:t>Código</w:t>
            </w:r>
            <w:r w:rsidR="00850777">
              <w:rPr>
                <w:rStyle w:val="normaltextrun"/>
                <w:rFonts w:ascii="Arial Narrow" w:hAnsi="Arial Narrow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GTI-TIC-MA-005</w:t>
            </w:r>
            <w:r w:rsidR="00C83148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50777" w:rsidRPr="001E7C66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="00C83148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el </w:t>
            </w:r>
            <w:r w:rsidR="00941E80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20 de mayo del </w:t>
            </w:r>
            <w:r w:rsidR="00C83148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>año</w:t>
            </w:r>
            <w:r w:rsidR="00941E80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 2015</w:t>
            </w:r>
            <w:r w:rsidR="00024F70">
              <w:rPr>
                <w:rStyle w:val="normaltextrun"/>
                <w:rFonts w:ascii="Arial Narrow" w:hAnsi="Arial Narrow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F4E4A" w:rsidRPr="001E7C66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creo</w:t>
            </w:r>
            <w:r w:rsidR="006F4E4A">
              <w:rPr>
                <w:rStyle w:val="normaltextrun"/>
                <w:rFonts w:ascii="Arial Narrow" w:hAnsi="Arial Narrow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F4E4A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>la</w:t>
            </w:r>
            <w:r w:rsidR="00941E80" w:rsidRPr="00941E80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 primera versión de la Política de Tratamiento de Datos Personales y Privacidad</w:t>
            </w:r>
            <w:r w:rsidR="00941E80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50777" w:rsidRPr="001E7C66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en el contexto de los derogados decretos 2618 de 2012 y 2453 de 2013. </w:t>
            </w:r>
            <w:r w:rsidR="00D83C99" w:rsidRPr="001E7C66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y</w:t>
            </w:r>
            <w:r w:rsidR="00D83C99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 en torno al nuevo contexto institucional </w:t>
            </w:r>
            <w:r w:rsidR="00941E80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>en el año 2018 actualiz</w:t>
            </w:r>
            <w:r w:rsidR="00196D37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>ó</w:t>
            </w:r>
            <w:r w:rsidR="00941E80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96D37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dichas políticas </w:t>
            </w:r>
            <w:r w:rsidR="00343006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>a través de</w:t>
            </w:r>
            <w:r w:rsidR="00941E80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 la Resolución 2007</w:t>
            </w:r>
            <w:r w:rsidR="00196D37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 de ese mismo </w:t>
            </w:r>
            <w:r w:rsidR="006F4E4A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>año</w:t>
            </w:r>
            <w:r w:rsidR="001E7C66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0428D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43006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>De igual manera, e</w:t>
            </w:r>
            <w:r w:rsidR="00E0428D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>l 04 de junio de 2020</w:t>
            </w:r>
            <w:r w:rsidR="00343006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E0428D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mediante la </w:t>
            </w:r>
            <w:r w:rsidRPr="000611FF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>Resolución</w:t>
            </w:r>
            <w:r w:rsidR="000611FF" w:rsidRPr="000611FF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 No. 924</w:t>
            </w:r>
            <w:r w:rsidR="003D6D75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, actualizó </w:t>
            </w:r>
            <w:r w:rsidRPr="000611FF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la Política de Tratamiento de Datos Personales, </w:t>
            </w:r>
            <w:r w:rsidR="0084682C" w:rsidRPr="000611FF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con el fin de asegurar una adecuada gestión Institucional, </w:t>
            </w:r>
            <w:r w:rsidRPr="000611FF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la cual </w:t>
            </w:r>
            <w:r w:rsidR="00FB6636" w:rsidRPr="000611FF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>establec</w:t>
            </w:r>
            <w:r w:rsidR="00343006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>ía</w:t>
            </w:r>
            <w:r w:rsidR="00FB6636" w:rsidRPr="000611FF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 los lineamientos para garantizar el adecuado cumplimiento de lo dispuesto en la Ley</w:t>
            </w:r>
            <w:r w:rsidR="00343006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B6636" w:rsidRPr="000611FF">
              <w:rPr>
                <w:rStyle w:val="normaltextrun"/>
                <w:rFonts w:ascii="Arial Narrow" w:hAnsi="Arial Narrow"/>
                <w:bCs/>
                <w:color w:val="000000"/>
                <w:sz w:val="22"/>
                <w:szCs w:val="22"/>
                <w:shd w:val="clear" w:color="auto" w:fill="FFFFFF"/>
              </w:rPr>
              <w:t xml:space="preserve">1581 de 2012 y en el Decreto 1074 de 2015. </w:t>
            </w:r>
          </w:p>
          <w:p w14:paraId="4EF1C322" w14:textId="77777777" w:rsidR="00AF5A32" w:rsidRDefault="00AF5A32" w:rsidP="00612F88">
            <w:pPr>
              <w:pStyle w:val="Ttulo2"/>
              <w:ind w:left="489" w:right="208"/>
              <w:jc w:val="both"/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4F447C13" w14:textId="6971D47E" w:rsidR="00E3309F" w:rsidRPr="00E3309F" w:rsidRDefault="000B6B7A" w:rsidP="00612F88">
            <w:pPr>
              <w:pStyle w:val="Ttulo2"/>
              <w:ind w:left="489" w:right="208"/>
              <w:jc w:val="both"/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0B6B7A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En la Resolución No. 2175 de 2022, se establec</w:t>
            </w:r>
            <w:r w:rsidR="00343006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ió</w:t>
            </w:r>
            <w:r w:rsidRPr="000B6B7A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que el comité MIG es la instancia donde se tratan los temas referentes a las dimensiones y políticas de gestión y desempeño Institucional. De acuerdo con el numeral 14 del artículo 18 de la misma resolución, corresponde a este </w:t>
            </w:r>
            <w:r w:rsidR="00343006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“</w:t>
            </w:r>
            <w:r w:rsidR="00E3309F" w:rsidRPr="00E3309F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Aprobar las políticas en materia de datos personales y hacer seguimiento a la implementación</w:t>
            </w:r>
          </w:p>
          <w:p w14:paraId="61792D5B" w14:textId="37062E07" w:rsidR="000B6B7A" w:rsidRPr="000B6B7A" w:rsidRDefault="00E3309F" w:rsidP="00612F88">
            <w:pPr>
              <w:pStyle w:val="Ttulo2"/>
              <w:ind w:left="489" w:right="208"/>
              <w:jc w:val="both"/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3309F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de la normativa de protección de datos personales que emita el Gobierno Nacional.</w:t>
            </w:r>
            <w:r w:rsidR="00343006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”</w:t>
            </w:r>
            <w:r w:rsidR="000B6B7A" w:rsidRPr="000B6B7A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. </w:t>
            </w:r>
          </w:p>
          <w:p w14:paraId="00CDF9A5" w14:textId="77777777" w:rsidR="000B6B7A" w:rsidRDefault="000B6B7A" w:rsidP="00822D20">
            <w:pPr>
              <w:pStyle w:val="Ttulo2"/>
              <w:ind w:left="489" w:right="208"/>
              <w:jc w:val="both"/>
              <w:rPr>
                <w:rStyle w:val="normaltextrun"/>
                <w:rFonts w:ascii="Arial Narrow" w:hAnsi="Arial Narrow"/>
                <w:color w:val="000000"/>
                <w:shd w:val="clear" w:color="auto" w:fill="FFFFFF"/>
                <w:lang w:val="es-CO"/>
              </w:rPr>
            </w:pPr>
          </w:p>
          <w:p w14:paraId="78EECC89" w14:textId="77777777" w:rsidR="00811DDE" w:rsidRPr="000611FF" w:rsidRDefault="004A43D2" w:rsidP="00822D20">
            <w:pPr>
              <w:pStyle w:val="Ttulo2"/>
              <w:ind w:left="489" w:right="208"/>
              <w:jc w:val="both"/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611FF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La implementación de esta política busca asegurar que los datos personales que administra </w:t>
            </w:r>
            <w:r w:rsidR="00811DDE" w:rsidRPr="000611FF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el Ministerio/Fondo Único de TIC </w:t>
            </w:r>
            <w:r w:rsidRPr="000611FF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no sean informados ni utilizados por terceros sin contar con la previa, expresa y libre autorización del titular de la información. </w:t>
            </w:r>
          </w:p>
          <w:p w14:paraId="7C299A4E" w14:textId="77777777" w:rsidR="00811DDE" w:rsidRPr="000611FF" w:rsidRDefault="00811DDE" w:rsidP="00822D20">
            <w:pPr>
              <w:pStyle w:val="Ttulo2"/>
              <w:ind w:left="489" w:right="208"/>
              <w:jc w:val="both"/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63119559" w14:textId="2BD7D5A1" w:rsidR="00A47B44" w:rsidRDefault="00811DDE" w:rsidP="00822D20">
            <w:pPr>
              <w:pStyle w:val="Ttulo2"/>
              <w:tabs>
                <w:tab w:val="left" w:pos="10479"/>
              </w:tabs>
              <w:ind w:left="489" w:right="208"/>
              <w:jc w:val="both"/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611FF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El Ministerio/Fondo Único de TIC, e</w:t>
            </w:r>
            <w:r w:rsidR="004A43D2" w:rsidRPr="000611FF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n el ejercicio de implementación de la política vigente, </w:t>
            </w:r>
            <w:r w:rsidR="00A47B44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h</w:t>
            </w:r>
            <w:r w:rsidR="004A43D2" w:rsidRPr="000611FF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a identificado aspectos que requieren ajustes</w:t>
            </w:r>
            <w:r w:rsidR="00A47B44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y </w:t>
            </w:r>
            <w:r w:rsidR="00A47B44" w:rsidRPr="00A47B44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teniendo en cuenta las exigencias de la Ley 1581 de 2012 y sus decretos reglamentarios, así como las guías de responsabilidad demostrada que pone la SIC a disposición para la implementación del programa de gestión de datos personales en Colombia</w:t>
            </w:r>
            <w:r w:rsidR="00A47B44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, se incluy</w:t>
            </w:r>
            <w:r w:rsidR="00D83C99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e en el proyecto de resolución</w:t>
            </w:r>
            <w:r w:rsidR="00A47B44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el siguiente articulado:</w:t>
            </w:r>
            <w:r w:rsidR="00A47B44" w:rsidRPr="00A47B44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22B5902" w14:textId="77777777" w:rsidR="00AF5A32" w:rsidRPr="00933756" w:rsidRDefault="00AF5A32" w:rsidP="00933756"/>
          <w:p w14:paraId="349B70A4" w14:textId="12EB33EF" w:rsidR="00A47B44" w:rsidRPr="00497187" w:rsidRDefault="009B4B53" w:rsidP="00822D20">
            <w:pPr>
              <w:pStyle w:val="Ttulo2"/>
              <w:ind w:left="915" w:right="208"/>
              <w:jc w:val="both"/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497187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“</w:t>
            </w:r>
            <w:r w:rsidR="00A47B44" w:rsidRPr="00497187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ARTÍCULO 4. Principios que Rigen la Política de Tratamientos de Datos Personales</w:t>
            </w:r>
            <w:r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A47B44" w:rsidRPr="00497187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(consagrados en la Ley y que </w:t>
            </w:r>
            <w:r w:rsidR="00D83C99" w:rsidRPr="00497187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debe</w:t>
            </w:r>
            <w:r w:rsidR="00A47B44" w:rsidRPr="00497187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adoptar</w:t>
            </w:r>
            <w:r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83C99" w:rsidRPr="00497187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el MinTIC como</w:t>
            </w:r>
            <w:r w:rsidR="00A47B44" w:rsidRPr="00497187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sujeto obligado) </w:t>
            </w:r>
          </w:p>
          <w:p w14:paraId="4A3D2057" w14:textId="77777777" w:rsidR="00A47B44" w:rsidRPr="00497187" w:rsidRDefault="00A47B44" w:rsidP="00822D20">
            <w:pPr>
              <w:pStyle w:val="Ttulo2"/>
              <w:ind w:left="915" w:right="208"/>
              <w:jc w:val="both"/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497187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ARTÍCULO 5. Categorías Especiales de Datos. (1. Tratamiento de Datos Sensibles y 2. Derechos de los Niños, Niñas y Adolescentes) </w:t>
            </w:r>
          </w:p>
          <w:p w14:paraId="260E7E80" w14:textId="684FEA7A" w:rsidR="00A47B44" w:rsidRPr="00497187" w:rsidRDefault="00A47B44" w:rsidP="00822D20">
            <w:pPr>
              <w:pStyle w:val="Ttulo2"/>
              <w:ind w:left="915" w:right="208"/>
              <w:jc w:val="both"/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497187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ARTICULO 12. Autorización del Titular</w:t>
            </w:r>
            <w:r w:rsidR="009B4B53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497187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(Formalizar la toma de autorización por parte de los ciudadanos) </w:t>
            </w:r>
          </w:p>
          <w:p w14:paraId="1517C6A0" w14:textId="5CE3328B" w:rsidR="00A47B44" w:rsidRPr="00497187" w:rsidRDefault="00A47B44" w:rsidP="00822D20">
            <w:pPr>
              <w:pStyle w:val="Ttulo2"/>
              <w:ind w:left="915" w:right="208"/>
              <w:jc w:val="both"/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497187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ARTÍCULO 13. Casos en que NO es Necesaria la Autorización</w:t>
            </w:r>
            <w:r w:rsidR="009B4B53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497187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(excepciones de la Ley) </w:t>
            </w:r>
          </w:p>
          <w:p w14:paraId="4C2B9E99" w14:textId="77777777" w:rsidR="00A47B44" w:rsidRPr="00497187" w:rsidRDefault="00A47B44" w:rsidP="00822D20">
            <w:pPr>
              <w:pStyle w:val="Ttulo2"/>
              <w:ind w:left="915" w:right="208"/>
              <w:jc w:val="both"/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497187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ARTÍCULO 16. Procedimiento para la actualización, rectificación, supresión de datos y revocación de la autorización de tratamiento de datos personales. (Se ajusta toda vez que se necesitan datos básicos del ciudadano para ejercer su derecho) </w:t>
            </w:r>
          </w:p>
          <w:p w14:paraId="40702F72" w14:textId="64340CDF" w:rsidR="00A47B44" w:rsidRDefault="00A47B44" w:rsidP="00822D20">
            <w:pPr>
              <w:pStyle w:val="Ttulo2"/>
              <w:ind w:left="915" w:right="208"/>
              <w:jc w:val="both"/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97187">
              <w:rPr>
                <w:rStyle w:val="normaltextrun"/>
                <w:rFonts w:ascii="Arial Narrow" w:hAnsi="Arial Narrow"/>
                <w:b w:val="0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ARTÍCULO 17. Control de Acceso y Videovigilancia</w:t>
            </w:r>
            <w:r w:rsidRPr="00A47B44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. (consagrados en la Ley</w:t>
            </w:r>
            <w:r w:rsidR="00D83C99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en cita</w:t>
            </w:r>
            <w:r w:rsidRPr="00A47B44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y que</w:t>
            </w:r>
            <w:r w:rsidR="00D83C99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debe adoptar el Ministerio</w:t>
            </w:r>
            <w:r w:rsidRPr="00A47B44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83C99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en calidad de</w:t>
            </w:r>
            <w:r w:rsidRPr="00A47B44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sujeto obligado)</w:t>
            </w:r>
            <w:r w:rsidR="009B4B53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”</w:t>
            </w:r>
          </w:p>
          <w:p w14:paraId="2AD8F66B" w14:textId="41971D79" w:rsidR="002E4A97" w:rsidRPr="00941E80" w:rsidRDefault="004A43D2" w:rsidP="00822D20">
            <w:pPr>
              <w:pStyle w:val="Ttulo2"/>
              <w:ind w:left="489" w:right="208"/>
              <w:jc w:val="both"/>
              <w:rPr>
                <w:rStyle w:val="normaltextrun"/>
                <w:rFonts w:ascii="Arial Narrow" w:hAnsi="Arial Narrow"/>
                <w:b w:val="0"/>
                <w:bCs/>
                <w:color w:val="000000"/>
                <w:shd w:val="clear" w:color="auto" w:fill="FFFFFF"/>
              </w:rPr>
            </w:pPr>
            <w:r w:rsidRPr="000611FF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Por lo anterior, se considera </w:t>
            </w:r>
            <w:r w:rsidR="00A67813" w:rsidRPr="000611FF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conveniente</w:t>
            </w:r>
            <w:r w:rsidRPr="000611FF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realizar la actualización de la Política de Tratamiento de Datos Personales, en aspectos formales y en algunas disposiciones identificadas en el ejercicio de su aplicación.</w:t>
            </w:r>
          </w:p>
        </w:tc>
      </w:tr>
      <w:tr w:rsidR="00DF60FD" w:rsidRPr="009F7CED" w14:paraId="14A68ED6" w14:textId="77777777" w:rsidTr="00822D20">
        <w:trPr>
          <w:trHeight w:val="47"/>
        </w:trPr>
        <w:tc>
          <w:tcPr>
            <w:tcW w:w="10840" w:type="dxa"/>
            <w:gridSpan w:val="3"/>
            <w:shd w:val="clear" w:color="auto" w:fill="FFFFFF"/>
            <w:vAlign w:val="center"/>
          </w:tcPr>
          <w:p w14:paraId="14EAF430" w14:textId="77777777" w:rsidR="00251FCE" w:rsidRPr="009F7CED" w:rsidRDefault="00251FCE" w:rsidP="0075705D">
            <w:pPr>
              <w:jc w:val="both"/>
              <w:rPr>
                <w:lang w:eastAsia="es-CO"/>
              </w:rPr>
            </w:pPr>
          </w:p>
        </w:tc>
      </w:tr>
      <w:tr w:rsidR="00DF60FD" w:rsidRPr="009F7CED" w14:paraId="08AFFB88" w14:textId="77777777" w:rsidTr="00822D20">
        <w:trPr>
          <w:trHeight w:val="66"/>
        </w:trPr>
        <w:tc>
          <w:tcPr>
            <w:tcW w:w="108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C26076" w14:textId="22AD8163" w:rsidR="00DF60FD" w:rsidRPr="00497187" w:rsidRDefault="00D83C99" w:rsidP="0075705D">
            <w:pPr>
              <w:numPr>
                <w:ilvl w:val="0"/>
                <w:numId w:val="44"/>
              </w:numPr>
              <w:ind w:left="494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1C7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Á</w:t>
            </w:r>
            <w:r w:rsidR="00DF60FD" w:rsidRPr="006D1C7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MBI</w:t>
            </w:r>
            <w:r w:rsidR="00DF60FD" w:rsidRPr="0049718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TO DE APLICACIÓN Y SUJETO</w:t>
            </w:r>
            <w:r w:rsidR="00795C6B" w:rsidRPr="0049718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S</w:t>
            </w:r>
            <w:r w:rsidR="00DF60FD" w:rsidRPr="0049718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A QUIEN</w:t>
            </w:r>
            <w:r w:rsidR="00795C6B" w:rsidRPr="0049718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ES</w:t>
            </w:r>
            <w:r w:rsidR="00DF60FD" w:rsidRPr="0049718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VA DIRIGIDO</w:t>
            </w:r>
          </w:p>
          <w:p w14:paraId="3FFB7BF7" w14:textId="77777777" w:rsidR="000611FF" w:rsidRPr="00497187" w:rsidRDefault="000611FF" w:rsidP="000611FF">
            <w:pPr>
              <w:ind w:left="134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  <w:p w14:paraId="2DCF7831" w14:textId="77777777" w:rsidR="00811DDE" w:rsidRPr="000364D8" w:rsidRDefault="00811DDE" w:rsidP="00822D20">
            <w:pPr>
              <w:pStyle w:val="Ttulo2"/>
              <w:ind w:left="489" w:right="208"/>
              <w:jc w:val="both"/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857771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Aplica a los datos personales que reposan en bases de datos y/o archivos que se encuentren en poder de la Entidad, de los servidores públicos, contratistas, operadores, terceros y todas aquellas personas naturales o jurídicas que tengan algún tipo de relación con el Ministerio /Fondo Único de TIC, y que de conformidad con la normativa</w:t>
            </w:r>
            <w:r w:rsidRPr="005006B6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vigente sean objeto de tratamiento. </w:t>
            </w:r>
          </w:p>
          <w:p w14:paraId="0B42B1E4" w14:textId="77777777" w:rsidR="00811DDE" w:rsidRPr="00857771" w:rsidRDefault="00811DDE" w:rsidP="00822D20">
            <w:pPr>
              <w:pStyle w:val="Ttulo2"/>
              <w:ind w:left="489" w:right="208"/>
              <w:jc w:val="both"/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57771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18AF3340" w14:textId="77777777" w:rsidR="00795C6B" w:rsidRPr="00C17365" w:rsidRDefault="00811DDE" w:rsidP="00822D20">
            <w:pPr>
              <w:pStyle w:val="Ttulo2"/>
              <w:ind w:left="489" w:right="208"/>
              <w:jc w:val="both"/>
              <w:rPr>
                <w:rFonts w:ascii="Arial Narrow" w:hAnsi="Arial Narrow" w:cs="Arial"/>
                <w:b w:val="0"/>
                <w:color w:val="000000"/>
                <w:sz w:val="22"/>
                <w:szCs w:val="22"/>
              </w:rPr>
            </w:pPr>
            <w:r w:rsidRPr="00857771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El Ministerio/Fondo Único TIC en relación con el tratamiento de los datos personales da por entendido que los mismos son propiedad de los titulares, y solo hará uso de aquellos para la finalidad manifestada al titular. Se exceptúan de este alcance los casos establecidos por el artículo</w:t>
            </w:r>
            <w:r w:rsidRPr="00857771">
              <w:rPr>
                <w:rStyle w:val="normaltextrun"/>
                <w:rFonts w:cs="Arial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 </w:t>
            </w:r>
            <w:r w:rsidRPr="00857771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857771">
              <w:rPr>
                <w:rStyle w:val="normaltextrun"/>
                <w:rFonts w:cs="Arial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 </w:t>
            </w:r>
            <w:r w:rsidRPr="00857771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de la Ley 1581 de 2012 y las normas que lo modifiquen, deroguen o subroguen.</w:t>
            </w:r>
            <w:r w:rsidRPr="00C17365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144DD34D" w14:textId="77777777" w:rsidR="00795C6B" w:rsidRPr="00C17365" w:rsidRDefault="00795C6B" w:rsidP="0075705D">
            <w:pP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</w:pPr>
          </w:p>
        </w:tc>
      </w:tr>
      <w:tr w:rsidR="00DF60FD" w:rsidRPr="009F7CED" w14:paraId="76C640F6" w14:textId="77777777" w:rsidTr="00ED7CBA">
        <w:trPr>
          <w:trHeight w:val="278"/>
        </w:trPr>
        <w:tc>
          <w:tcPr>
            <w:tcW w:w="108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51399D" w14:textId="77777777" w:rsidR="00DF60FD" w:rsidRPr="00C17365" w:rsidRDefault="00795C6B" w:rsidP="0075705D">
            <w:pPr>
              <w:ind w:left="494" w:hanging="283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C1736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lastRenderedPageBreak/>
              <w:t xml:space="preserve">3. </w:t>
            </w:r>
            <w:r w:rsidR="00DF60FD" w:rsidRPr="00C1736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VIABILIDAD JURÍDICA</w:t>
            </w:r>
          </w:p>
          <w:p w14:paraId="611C387D" w14:textId="77777777" w:rsidR="00D05B67" w:rsidRPr="00C17365" w:rsidRDefault="00D05B67" w:rsidP="0075705D">
            <w:pPr>
              <w:ind w:left="494" w:hanging="283"/>
              <w:rPr>
                <w:rFonts w:ascii="Arial Narrow" w:hAnsi="Arial Narrow" w:cs="Arial"/>
                <w:i/>
                <w:color w:val="808080"/>
                <w:sz w:val="22"/>
                <w:szCs w:val="22"/>
              </w:rPr>
            </w:pPr>
          </w:p>
          <w:p w14:paraId="12B0084D" w14:textId="5333C80A" w:rsidR="00795C6B" w:rsidRPr="00C17365" w:rsidRDefault="00795C6B" w:rsidP="0075705D">
            <w:pPr>
              <w:ind w:left="494" w:hanging="283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C17365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3.1 Análisis de las normas que otorgan la competencia para la expedición del proyecto normativo</w:t>
            </w:r>
            <w:r w:rsidR="00B900F0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:</w:t>
            </w:r>
          </w:p>
          <w:p w14:paraId="5753F70C" w14:textId="2882CE03" w:rsidR="000611FF" w:rsidRPr="00D85F1E" w:rsidRDefault="000611FF" w:rsidP="00C17365">
            <w:pPr>
              <w:ind w:left="494" w:hanging="238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  <w:p w14:paraId="7964B887" w14:textId="4C11961E" w:rsidR="00D85F1E" w:rsidRDefault="00D85F1E" w:rsidP="00F23BBA">
            <w:pPr>
              <w:pStyle w:val="Prrafodelista"/>
              <w:numPr>
                <w:ilvl w:val="0"/>
                <w:numId w:val="46"/>
              </w:numPr>
              <w:ind w:left="982" w:right="208" w:hanging="426"/>
              <w:jc w:val="both"/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El literal a) del artículo 61 de la Ley 489 de 1998, </w:t>
            </w:r>
            <w:r w:rsidRPr="00D85F1E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"</w:t>
            </w:r>
            <w:r w:rsidRPr="00F23BBA">
              <w:rPr>
                <w:rStyle w:val="normaltextrun"/>
                <w:rFonts w:ascii="Arial Narrow" w:hAnsi="Arial Narrow"/>
                <w:i/>
                <w:iCs/>
                <w:color w:val="000000"/>
                <w:sz w:val="22"/>
                <w:szCs w:val="22"/>
                <w:shd w:val="clear" w:color="auto" w:fill="FFFFFF"/>
              </w:rPr>
              <w:t>Por la cual se dictan normas sobre la organización y funcionamiento de las entidades del orden nacional, se expiden las disposiciones, principios y reglas generales para el ejercicio de las atribuciones previstas en los numerales 15 y 16 del artículo 189 de la Constitución Política y se dictan otras disposiciones."</w:t>
            </w:r>
          </w:p>
          <w:p w14:paraId="4D4BEC85" w14:textId="3DD49806" w:rsidR="00972FCB" w:rsidRDefault="00972FCB" w:rsidP="00F23BBA">
            <w:pPr>
              <w:pStyle w:val="Prrafodelista"/>
              <w:numPr>
                <w:ilvl w:val="0"/>
                <w:numId w:val="46"/>
              </w:numPr>
              <w:ind w:left="982" w:right="208" w:hanging="426"/>
              <w:jc w:val="both"/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El artículo 17 de la Ley 1341 de 2009, “</w:t>
            </w:r>
            <w:r w:rsidRPr="00972FCB">
              <w:rPr>
                <w:rStyle w:val="normaltextrun"/>
                <w:rFonts w:ascii="Arial Narrow" w:hAnsi="Arial Narrow"/>
                <w:i/>
                <w:iCs/>
                <w:color w:val="000000"/>
                <w:sz w:val="22"/>
                <w:szCs w:val="22"/>
                <w:shd w:val="clear" w:color="auto" w:fill="FFFFFF"/>
              </w:rPr>
              <w:t>Por la cual se definen principios y conceptos sobre la sociedad de la información y la organización de las Tecnologías de la Información y las Comunicaciones –TIC–, se crea la Agencia Nacional de Espectro y se dictan otras disposiciones.</w:t>
            </w:r>
            <w:r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”</w:t>
            </w:r>
          </w:p>
          <w:p w14:paraId="4B397428" w14:textId="5D528D86" w:rsidR="00D83C99" w:rsidRPr="00D85F1E" w:rsidRDefault="00D83C99" w:rsidP="00F23BBA">
            <w:pPr>
              <w:pStyle w:val="Prrafodelista"/>
              <w:numPr>
                <w:ilvl w:val="0"/>
                <w:numId w:val="46"/>
              </w:numPr>
              <w:ind w:left="982" w:right="208" w:hanging="426"/>
              <w:jc w:val="both"/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D85F1E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El artículo 17 de la Ley 1581 de </w:t>
            </w:r>
            <w:r w:rsidR="005C3935" w:rsidRPr="00D85F1E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2012</w:t>
            </w:r>
            <w:r w:rsidR="00972FCB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B85D71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“</w:t>
            </w:r>
            <w:r w:rsidR="00B85D71" w:rsidRPr="00F23BBA">
              <w:rPr>
                <w:rStyle w:val="normaltextrun"/>
                <w:rFonts w:ascii="Arial Narrow" w:hAnsi="Arial Narrow"/>
                <w:i/>
                <w:iCs/>
                <w:color w:val="000000"/>
                <w:sz w:val="22"/>
                <w:szCs w:val="22"/>
                <w:shd w:val="clear" w:color="auto" w:fill="FFFFFF"/>
              </w:rPr>
              <w:t>Por la cual se dictan disposiciones generales para la protección de datos personales</w:t>
            </w:r>
            <w:r w:rsidR="00B85D71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”,</w:t>
            </w:r>
            <w:r w:rsidR="00972FCB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C3935" w:rsidRPr="00D85F1E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que</w:t>
            </w:r>
            <w:r w:rsidR="007D6272" w:rsidRPr="00D85F1E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establece los </w:t>
            </w:r>
            <w:r w:rsidR="007D6272" w:rsidRPr="00F23BBA">
              <w:rPr>
                <w:rFonts w:ascii="Arial Narrow" w:hAnsi="Arial Narrow"/>
                <w:sz w:val="22"/>
                <w:szCs w:val="22"/>
              </w:rPr>
              <w:t xml:space="preserve">Deberes de los </w:t>
            </w:r>
            <w:proofErr w:type="gramStart"/>
            <w:r w:rsidR="007D6272" w:rsidRPr="00F23BBA">
              <w:rPr>
                <w:rFonts w:ascii="Arial Narrow" w:hAnsi="Arial Narrow"/>
                <w:sz w:val="22"/>
                <w:szCs w:val="22"/>
              </w:rPr>
              <w:t>Responsables</w:t>
            </w:r>
            <w:proofErr w:type="gramEnd"/>
            <w:r w:rsidR="007D6272" w:rsidRPr="00F23BBA">
              <w:rPr>
                <w:rFonts w:ascii="Arial Narrow" w:hAnsi="Arial Narrow"/>
                <w:sz w:val="22"/>
                <w:szCs w:val="22"/>
              </w:rPr>
              <w:t xml:space="preserve"> del Tratamiento.</w:t>
            </w:r>
          </w:p>
          <w:p w14:paraId="552A5E56" w14:textId="24D54CDF" w:rsidR="004E21B2" w:rsidRPr="004E21B2" w:rsidRDefault="004E21B2" w:rsidP="004E21B2">
            <w:pPr>
              <w:pStyle w:val="Prrafodelista"/>
              <w:numPr>
                <w:ilvl w:val="0"/>
                <w:numId w:val="46"/>
              </w:numPr>
              <w:ind w:left="982" w:right="208" w:hanging="426"/>
              <w:jc w:val="both"/>
              <w:rPr>
                <w:rStyle w:val="normaltextrun"/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22"/>
                <w:szCs w:val="22"/>
              </w:rPr>
              <w:t>E</w:t>
            </w:r>
            <w:r w:rsidRPr="00D85F1E">
              <w:rPr>
                <w:rStyle w:val="normaltextrun"/>
                <w:rFonts w:ascii="Arial Narrow" w:hAnsi="Arial Narrow"/>
                <w:color w:val="000000"/>
                <w:sz w:val="22"/>
                <w:szCs w:val="22"/>
              </w:rPr>
              <w:t xml:space="preserve">l artículo </w:t>
            </w:r>
            <w:r w:rsidRPr="00D85F1E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2.2.2.25.3.1 del Decreto 1074 de 2015</w:t>
            </w:r>
            <w:r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4E21B2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"</w:t>
            </w:r>
            <w:r w:rsidRPr="00B921DE">
              <w:rPr>
                <w:rStyle w:val="normaltextrun"/>
                <w:rFonts w:ascii="Arial Narrow" w:hAnsi="Arial Narrow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Por medio del </w:t>
            </w:r>
            <w:r w:rsidR="00612F88" w:rsidRPr="00B921DE">
              <w:rPr>
                <w:rStyle w:val="normaltextrun"/>
                <w:rFonts w:ascii="Arial Narrow" w:hAnsi="Arial Narrow"/>
                <w:i/>
                <w:iCs/>
                <w:color w:val="000000"/>
                <w:sz w:val="22"/>
                <w:szCs w:val="22"/>
                <w:shd w:val="clear" w:color="auto" w:fill="FFFFFF"/>
              </w:rPr>
              <w:t>cual</w:t>
            </w:r>
            <w:r w:rsidRPr="00B921DE">
              <w:rPr>
                <w:rStyle w:val="normaltextrun"/>
                <w:rFonts w:ascii="Arial Narrow" w:hAnsi="Arial Narrow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se expide el Decreto Único Reglamentario del Sector Comercio, Industria y Turismo</w:t>
            </w:r>
            <w:r w:rsidRPr="004E21B2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"</w:t>
            </w:r>
            <w:r w:rsidRPr="000360D3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972FCB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72FCB">
              <w:rPr>
                <w:rStyle w:val="normaltextrun"/>
                <w:rFonts w:ascii="Arial Narrow" w:hAnsi="Arial Narrow"/>
                <w:color w:val="000000"/>
                <w:sz w:val="22"/>
                <w:szCs w:val="22"/>
              </w:rPr>
              <w:t>Los responsables del tratamiento deberán desarrollar sus políticas para el tratamiento de los datos personales y velar porque lo</w:t>
            </w:r>
            <w:r w:rsidRPr="004E21B2">
              <w:rPr>
                <w:rStyle w:val="normaltextrun"/>
                <w:rFonts w:ascii="Arial Narrow" w:hAnsi="Arial Narrow"/>
                <w:color w:val="000000"/>
                <w:sz w:val="22"/>
                <w:szCs w:val="22"/>
              </w:rPr>
              <w:t xml:space="preserve">s </w:t>
            </w:r>
            <w:r w:rsidRPr="00B921DE">
              <w:rPr>
                <w:rStyle w:val="normaltextrun"/>
                <w:rFonts w:ascii="Arial Narrow" w:hAnsi="Arial Narrow"/>
                <w:color w:val="000000"/>
                <w:sz w:val="22"/>
                <w:szCs w:val="22"/>
              </w:rPr>
              <w:t>encargados del tratamiento den cabal cumplimiento a las mismas</w:t>
            </w:r>
            <w:r>
              <w:rPr>
                <w:rStyle w:val="normaltextrun"/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14:paraId="65B03D0B" w14:textId="730D9701" w:rsidR="00D83C99" w:rsidRPr="00D85F1E" w:rsidRDefault="00D83C99" w:rsidP="005C3935">
            <w:pPr>
              <w:pStyle w:val="Prrafodelista"/>
              <w:numPr>
                <w:ilvl w:val="0"/>
                <w:numId w:val="46"/>
              </w:numPr>
              <w:ind w:left="982" w:right="208" w:hanging="426"/>
              <w:jc w:val="both"/>
              <w:rPr>
                <w:rStyle w:val="normaltextrun"/>
                <w:rFonts w:ascii="Arial Narrow" w:hAnsi="Arial Narrow"/>
                <w:color w:val="000000"/>
                <w:sz w:val="22"/>
                <w:szCs w:val="22"/>
              </w:rPr>
            </w:pPr>
            <w:r w:rsidRPr="00D85F1E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El artículo 5 del Decreto 1064 de 2020, </w:t>
            </w:r>
            <w:r w:rsidR="00C13B0D" w:rsidRPr="00D85F1E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establece </w:t>
            </w:r>
            <w:r w:rsidR="005C3935" w:rsidRPr="00D85F1E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las funciones</w:t>
            </w:r>
            <w:r w:rsidR="00C13B0D" w:rsidRPr="00D85F1E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del Despacho del Ministro de Tecnologías de la Información y las Comunicaciones </w:t>
            </w:r>
            <w:r w:rsidR="00652E55" w:rsidRPr="00D85F1E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modifica la estructura del</w:t>
            </w:r>
            <w:r w:rsidR="00652E55" w:rsidRPr="00F23BBA">
              <w:rPr>
                <w:rStyle w:val="normaltextrun"/>
                <w:rFonts w:ascii="Arial Narrow" w:hAnsi="Arial Narrow"/>
                <w:color w:val="000000"/>
                <w:sz w:val="22"/>
                <w:szCs w:val="22"/>
              </w:rPr>
              <w:t xml:space="preserve"> Ministerio de Tecnologías de la Información y las Comunicaciones</w:t>
            </w:r>
          </w:p>
          <w:p w14:paraId="2E0492B6" w14:textId="77777777" w:rsidR="00E53106" w:rsidRPr="00AF5A32" w:rsidRDefault="00E53106" w:rsidP="00E53106">
            <w:pPr>
              <w:ind w:left="360"/>
              <w:rPr>
                <w:rStyle w:val="normaltextrun"/>
                <w:rFonts w:ascii="Arial Narrow" w:hAnsi="Arial Narrow"/>
                <w:color w:val="000000"/>
                <w:sz w:val="22"/>
                <w:szCs w:val="22"/>
              </w:rPr>
            </w:pPr>
          </w:p>
          <w:p w14:paraId="71007DB5" w14:textId="35FBE9BF" w:rsidR="00795C6B" w:rsidRPr="00C17365" w:rsidRDefault="00795C6B" w:rsidP="0075705D">
            <w:pPr>
              <w:ind w:left="494" w:hanging="283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C17365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3.2 Vigencia de la ley o norma reglamentada o desarrollada</w:t>
            </w:r>
            <w:r w:rsidR="00B900F0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:</w:t>
            </w:r>
          </w:p>
          <w:p w14:paraId="3AE377E0" w14:textId="77777777" w:rsidR="000611FF" w:rsidRPr="00C17365" w:rsidRDefault="000611FF" w:rsidP="0075705D">
            <w:pPr>
              <w:ind w:left="494" w:hanging="283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  <w:p w14:paraId="437A8E3D" w14:textId="461759B6" w:rsidR="000611FF" w:rsidRPr="00857771" w:rsidRDefault="00D50C13" w:rsidP="00E53106">
            <w:pPr>
              <w:pStyle w:val="Ttulo2"/>
              <w:ind w:left="556" w:right="72"/>
              <w:jc w:val="both"/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Las normas se encuentran vigentes</w:t>
            </w:r>
            <w:r w:rsidR="000611FF" w:rsidRPr="00857771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4FAF8709" w14:textId="77777777" w:rsidR="00795C6B" w:rsidRPr="00904A47" w:rsidRDefault="00795C6B" w:rsidP="0075705D">
            <w:pPr>
              <w:ind w:left="494" w:hanging="283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  <w:p w14:paraId="1BDC4C0C" w14:textId="4B9E5EB0" w:rsidR="00795C6B" w:rsidRPr="00904A47" w:rsidRDefault="00795C6B" w:rsidP="0075705D">
            <w:pPr>
              <w:ind w:left="494" w:hanging="283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904A47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3.3. Disposiciones deroga</w:t>
            </w:r>
            <w:r w:rsidR="00857771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da</w:t>
            </w:r>
            <w:r w:rsidRPr="00904A47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s, subrogadas, modificadas, adicionadas</w:t>
            </w:r>
            <w:r w:rsidR="00D05B67" w:rsidRPr="00904A47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o sustituidas</w:t>
            </w:r>
            <w:r w:rsidR="00B900F0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:</w:t>
            </w:r>
            <w:r w:rsidR="00D05B67" w:rsidRPr="00904A47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</w:p>
          <w:p w14:paraId="6D5E31C9" w14:textId="77777777" w:rsidR="000611FF" w:rsidRPr="00904A47" w:rsidRDefault="000611FF" w:rsidP="0075705D">
            <w:pPr>
              <w:ind w:left="494" w:hanging="283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  <w:p w14:paraId="51A8EC85" w14:textId="08D96BF8" w:rsidR="000611FF" w:rsidRPr="00904A47" w:rsidRDefault="000611FF" w:rsidP="00E53106">
            <w:pPr>
              <w:pStyle w:val="Ttulo2"/>
              <w:ind w:left="556" w:right="72"/>
              <w:jc w:val="both"/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57771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Con la expedición de </w:t>
            </w:r>
            <w:r w:rsidR="00D83C99" w:rsidRPr="00857771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la</w:t>
            </w:r>
            <w:r w:rsidRPr="00857771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resolución se deroga la Resolución No. 924 del 04 de junio de 2020</w:t>
            </w:r>
            <w:r w:rsidR="00B900F0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588697EF" w14:textId="77777777" w:rsidR="00D05B67" w:rsidRPr="00904A47" w:rsidRDefault="00D05B67" w:rsidP="0075705D">
            <w:pPr>
              <w:ind w:left="494" w:hanging="283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  <w:p w14:paraId="3E7FA210" w14:textId="0D9CC218" w:rsidR="00D05B67" w:rsidRPr="00904A47" w:rsidRDefault="00D05B67" w:rsidP="0052463B">
            <w:pPr>
              <w:ind w:left="494" w:right="217" w:hanging="283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904A47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3.4 Revisión y análisis de la jurisprudencia que tenga impacto o sea relevante para la expedición del proyecto normativo</w:t>
            </w:r>
            <w:r w:rsidR="00C04E1A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.</w:t>
            </w:r>
            <w:r w:rsidRPr="00904A47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(órganos de cierre de cada jurisdicción)</w:t>
            </w:r>
          </w:p>
          <w:p w14:paraId="41790B6A" w14:textId="7E268130" w:rsidR="00541198" w:rsidRPr="00904A47" w:rsidRDefault="00541198" w:rsidP="0075705D">
            <w:pPr>
              <w:ind w:left="494" w:hanging="283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904A47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</w:p>
          <w:p w14:paraId="6F15D25B" w14:textId="07074631" w:rsidR="00E65253" w:rsidRPr="00F23BBA" w:rsidRDefault="00635411" w:rsidP="00F23BBA">
            <w:pPr>
              <w:pStyle w:val="Prrafodelista"/>
              <w:numPr>
                <w:ilvl w:val="0"/>
                <w:numId w:val="47"/>
              </w:numPr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635411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Sentencia No. T-414/92, Expediente T – 534, Corte Constitucional de Colombia</w:t>
            </w:r>
            <w:r w:rsidR="00E6525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635411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="00E6525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="00E65253" w:rsidRPr="00635411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erecho a la intimidad personal y familiar/derecho a la información</w:t>
            </w:r>
            <w:r w:rsidRPr="00635411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2E9BFCC1" w14:textId="589EAB42" w:rsidR="00E65253" w:rsidRPr="00F23BBA" w:rsidRDefault="00E65253" w:rsidP="00F23BBA">
            <w:pPr>
              <w:pStyle w:val="Prrafodelista"/>
              <w:numPr>
                <w:ilvl w:val="0"/>
                <w:numId w:val="47"/>
              </w:numPr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E6525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Sentencia T-729/02</w:t>
            </w:r>
            <w:r w:rsidRPr="00635411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, Expediente </w:t>
            </w:r>
            <w:r w:rsidRPr="00E6525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T-467467</w:t>
            </w:r>
            <w:r w:rsidRPr="00635411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, Corte Constitucional de Colombia</w:t>
            </w:r>
            <w:r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635411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E6525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El contenido y alcance del derecho constitucional al habeas data o a la autodeterminación informática; Principios de la administración de datos personales</w:t>
            </w:r>
            <w:r w:rsidRPr="00635411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3C371EF5" w14:textId="6C7EC890" w:rsidR="00F53EA9" w:rsidRDefault="00F53EA9" w:rsidP="00F53EA9">
            <w:pPr>
              <w:pStyle w:val="Prrafodelista"/>
              <w:numPr>
                <w:ilvl w:val="0"/>
                <w:numId w:val="47"/>
              </w:numPr>
              <w:spacing w:before="40"/>
              <w:ind w:right="72"/>
              <w:jc w:val="both"/>
              <w:outlineLvl w:val="1"/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F53EA9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Sentencia T-020/14</w:t>
            </w:r>
            <w:r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B921DE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Expediente T-4.033.635</w:t>
            </w:r>
            <w:r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, Corte Constitucional de Colombia</w:t>
            </w:r>
            <w:r w:rsidR="00E6525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F53EA9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Habeas Data </w:t>
            </w:r>
            <w:r w:rsidR="00E65253" w:rsidRPr="00F53EA9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como derecho autónomo y como garantía de otros derechos fundamentales</w:t>
            </w:r>
            <w:r w:rsidR="00E6525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2B544585" w14:textId="52462A8A" w:rsidR="00ED7CBA" w:rsidRDefault="00F53EA9" w:rsidP="00F23BBA">
            <w:pPr>
              <w:pStyle w:val="Prrafodelista"/>
              <w:numPr>
                <w:ilvl w:val="0"/>
                <w:numId w:val="47"/>
              </w:numPr>
              <w:spacing w:before="40"/>
              <w:ind w:right="72"/>
              <w:jc w:val="both"/>
              <w:outlineLvl w:val="1"/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  <w:r w:rsidRPr="00F53EA9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Sentencia T-114/18</w:t>
            </w:r>
            <w:r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F53EA9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Expediente T-6.492.167</w:t>
            </w:r>
            <w:r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, Corte Constitucional de Colombia</w:t>
            </w:r>
            <w:r w:rsidR="00E6525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F53EA9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Acceso </w:t>
            </w:r>
            <w:r w:rsidR="00E65253" w:rsidRPr="00F53EA9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a la información p</w:t>
            </w:r>
            <w:r w:rsidR="00E6525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ú</w:t>
            </w:r>
            <w:r w:rsidR="00E65253" w:rsidRPr="00F53EA9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blica y privada y la naturaleza de la información recopilada por los circuitos cerrados de televisión</w:t>
            </w:r>
            <w:r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612F88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68DADA87" w14:textId="77777777" w:rsidR="00612F88" w:rsidRPr="00F23BBA" w:rsidRDefault="00612F88" w:rsidP="00612F88">
            <w:pPr>
              <w:pStyle w:val="Prrafodelista"/>
              <w:spacing w:before="40"/>
              <w:ind w:left="1276" w:right="72"/>
              <w:jc w:val="both"/>
              <w:outlineLvl w:val="1"/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</w:pPr>
          </w:p>
          <w:p w14:paraId="03EBB064" w14:textId="188B02A1" w:rsidR="00D05B67" w:rsidRDefault="00D05B67" w:rsidP="0075705D">
            <w:pPr>
              <w:ind w:left="494" w:hanging="283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 w:rsidRPr="00904A47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lastRenderedPageBreak/>
              <w:t>3.5 Circunstancias jurídicas adicionales</w:t>
            </w:r>
            <w:r w:rsidR="00B900F0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:</w:t>
            </w:r>
            <w:r w:rsidRPr="00904A47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 xml:space="preserve"> </w:t>
            </w:r>
          </w:p>
          <w:p w14:paraId="27F09BC1" w14:textId="77777777" w:rsidR="00ED7CBA" w:rsidRDefault="00ED7CBA" w:rsidP="0075705D">
            <w:pPr>
              <w:ind w:left="494" w:hanging="283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  <w:p w14:paraId="118BEEC6" w14:textId="1A09DD86" w:rsidR="00ED7CBA" w:rsidRDefault="00ED7CBA" w:rsidP="00ED7CBA">
            <w:pPr>
              <w:ind w:left="556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No existen circunstancias Jurídicas adicionales</w:t>
            </w:r>
          </w:p>
          <w:p w14:paraId="078425D7" w14:textId="77777777" w:rsidR="005C3935" w:rsidRPr="00904A47" w:rsidRDefault="005C3935" w:rsidP="00ED7CBA">
            <w:pPr>
              <w:ind w:left="556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  <w:p w14:paraId="57F540DD" w14:textId="59F00861" w:rsidR="00795C6B" w:rsidRPr="00ED7CBA" w:rsidRDefault="00795C6B" w:rsidP="00ED7C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556"/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</w:tc>
      </w:tr>
      <w:tr w:rsidR="00DF60FD" w:rsidRPr="009F7CED" w14:paraId="36F91599" w14:textId="77777777" w:rsidTr="005C3935">
        <w:trPr>
          <w:trHeight w:val="925"/>
        </w:trPr>
        <w:tc>
          <w:tcPr>
            <w:tcW w:w="10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7260A" w14:textId="77777777" w:rsidR="00843EFF" w:rsidRPr="009F7CED" w:rsidRDefault="00843EFF" w:rsidP="00A161B9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33B0D19" w14:textId="77777777" w:rsidR="00DF60FD" w:rsidRPr="005C3935" w:rsidRDefault="00DF60FD" w:rsidP="00D05B67">
            <w:pPr>
              <w:numPr>
                <w:ilvl w:val="0"/>
                <w:numId w:val="45"/>
              </w:num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IMPACTO ECONÓMICO </w:t>
            </w:r>
            <w:r w:rsidR="00D05B67" w:rsidRPr="005C3935">
              <w:rPr>
                <w:rFonts w:ascii="Arial Narrow" w:hAnsi="Arial Narrow" w:cs="Arial"/>
                <w:color w:val="000000"/>
                <w:sz w:val="22"/>
                <w:szCs w:val="22"/>
              </w:rPr>
              <w:t>(Si se requiere)</w:t>
            </w:r>
          </w:p>
          <w:p w14:paraId="4B724C27" w14:textId="77777777" w:rsidR="00843EFF" w:rsidRPr="005C3935" w:rsidRDefault="00843EFF" w:rsidP="00795C6B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14:paraId="7AE0465C" w14:textId="2EFE6A8D" w:rsidR="003D6D75" w:rsidRPr="00B900F0" w:rsidRDefault="00AF5A32" w:rsidP="0060613A">
            <w:pPr>
              <w:pStyle w:val="Ttulo2"/>
              <w:ind w:left="773" w:right="72"/>
              <w:jc w:val="both"/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La expedición del proyecto normativo no </w:t>
            </w:r>
            <w:r w:rsidR="003D6D75" w:rsidRPr="00B900F0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genera impacto </w:t>
            </w:r>
            <w:r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económico </w:t>
            </w:r>
            <w:r w:rsidR="003D6D75" w:rsidRPr="00B900F0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para </w:t>
            </w:r>
            <w:r w:rsidR="003D6D75" w:rsidRPr="00B900F0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el Ministerio/Fondo Único TIC</w:t>
            </w:r>
            <w: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, ni para los administrados</w:t>
            </w:r>
            <w:r w:rsidR="00B900F0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8F84198" w14:textId="77777777" w:rsidR="003D6D75" w:rsidRPr="003D6D75" w:rsidRDefault="003D6D75" w:rsidP="003D6D75"/>
        </w:tc>
      </w:tr>
      <w:tr w:rsidR="00DF60FD" w:rsidRPr="009F7CED" w14:paraId="1E9BF475" w14:textId="77777777" w:rsidTr="005C3935">
        <w:trPr>
          <w:trHeight w:val="66"/>
        </w:trPr>
        <w:tc>
          <w:tcPr>
            <w:tcW w:w="10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E5CF6" w14:textId="77777777" w:rsidR="00843EFF" w:rsidRPr="005C3935" w:rsidRDefault="00843EFF" w:rsidP="00A161B9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  <w:p w14:paraId="7E00FCB1" w14:textId="77777777" w:rsidR="00DF60FD" w:rsidRPr="005C3935" w:rsidRDefault="00795C6B" w:rsidP="00D05B67">
            <w:pPr>
              <w:numPr>
                <w:ilvl w:val="0"/>
                <w:numId w:val="45"/>
              </w:num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VIABILIDAD O </w:t>
            </w:r>
            <w:r w:rsidR="00DF60FD" w:rsidRPr="005C393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DISPONIBILIDAD PRESUPUESTAL </w:t>
            </w:r>
            <w:r w:rsidR="00D05B67" w:rsidRPr="005C3935">
              <w:rPr>
                <w:rFonts w:ascii="Arial Narrow" w:hAnsi="Arial Narrow" w:cs="Arial"/>
                <w:color w:val="000000"/>
                <w:sz w:val="22"/>
                <w:szCs w:val="22"/>
              </w:rPr>
              <w:t>(Si se requiere)</w:t>
            </w:r>
          </w:p>
          <w:p w14:paraId="06EAFC67" w14:textId="77777777" w:rsidR="00E01109" w:rsidRPr="00B900F0" w:rsidRDefault="00E01109" w:rsidP="00E01109">
            <w:pPr>
              <w:pStyle w:val="Ttulo2"/>
              <w:ind w:left="489" w:right="72"/>
              <w:jc w:val="both"/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7FE1B6AF" w14:textId="716A394F" w:rsidR="00F44A2E" w:rsidRPr="005C3935" w:rsidRDefault="003D6D75" w:rsidP="0060613A">
            <w:pPr>
              <w:pStyle w:val="Ttulo2"/>
              <w:ind w:left="773" w:right="72"/>
              <w:jc w:val="both"/>
              <w:rPr>
                <w:rFonts w:ascii="Arial Narrow" w:hAnsi="Arial Narrow"/>
                <w:sz w:val="22"/>
                <w:szCs w:val="22"/>
                <w:lang w:eastAsia="es-CO"/>
              </w:rPr>
            </w:pPr>
            <w:r w:rsidRPr="00B900F0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No aplica.</w:t>
            </w:r>
            <w:r w:rsidR="00D05B67" w:rsidRPr="00B900F0">
              <w:rPr>
                <w:rStyle w:val="normaltextrun"/>
                <w:rFonts w:ascii="Arial Narrow" w:hAnsi="Arial Narrow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12A4B6B" w14:textId="77777777" w:rsidR="00696582" w:rsidRPr="009F7CED" w:rsidRDefault="00696582" w:rsidP="00F44A2E">
            <w:pPr>
              <w:jc w:val="both"/>
              <w:rPr>
                <w:sz w:val="22"/>
                <w:szCs w:val="22"/>
                <w:lang w:eastAsia="es-CO"/>
              </w:rPr>
            </w:pPr>
          </w:p>
        </w:tc>
      </w:tr>
      <w:tr w:rsidR="00DF60FD" w:rsidRPr="009F7CED" w14:paraId="6D9FEB68" w14:textId="77777777" w:rsidTr="005C3935">
        <w:trPr>
          <w:trHeight w:val="1295"/>
        </w:trPr>
        <w:tc>
          <w:tcPr>
            <w:tcW w:w="108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FDE2E6" w14:textId="77777777" w:rsidR="00DF60FD" w:rsidRPr="005C3935" w:rsidRDefault="00DF60FD" w:rsidP="00D05B67">
            <w:pPr>
              <w:numPr>
                <w:ilvl w:val="0"/>
                <w:numId w:val="45"/>
              </w:num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IMPACTO MEDIOAMBIENTAL O SOBRE EL PATRIMONIO CULTURAL DE LA NACIÓN </w:t>
            </w:r>
            <w:r w:rsidR="00D05B67" w:rsidRPr="005C3935">
              <w:rPr>
                <w:rFonts w:ascii="Arial Narrow" w:hAnsi="Arial Narrow" w:cs="Arial"/>
                <w:color w:val="000000"/>
                <w:sz w:val="22"/>
                <w:szCs w:val="22"/>
              </w:rPr>
              <w:t>(Si se requiere)</w:t>
            </w:r>
            <w:r w:rsidR="003D6D75" w:rsidRPr="005C3935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  <w:p w14:paraId="29F68CD0" w14:textId="77777777" w:rsidR="003D6D75" w:rsidRPr="005C3935" w:rsidRDefault="003D6D75" w:rsidP="003D6D75">
            <w:pPr>
              <w:ind w:left="360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  <w:p w14:paraId="7284D9AE" w14:textId="77777777" w:rsidR="00696582" w:rsidRPr="005C3935" w:rsidRDefault="003D6D75" w:rsidP="002C0F69">
            <w:pPr>
              <w:spacing w:after="200" w:line="276" w:lineRule="auto"/>
              <w:ind w:left="720"/>
              <w:contextualSpacing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900F0">
              <w:rPr>
                <w:rFonts w:ascii="Arial Narrow" w:hAnsi="Arial Narrow"/>
                <w:sz w:val="22"/>
                <w:szCs w:val="22"/>
                <w:lang w:val="es-CO" w:eastAsia="es-CO"/>
              </w:rPr>
              <w:t>El proyecto normativo no genera impacto sobre el medio ambiente o el Patrimonio cultural de la Nación.</w:t>
            </w:r>
          </w:p>
        </w:tc>
      </w:tr>
      <w:tr w:rsidR="00DF60FD" w:rsidRPr="009F7CED" w14:paraId="2B11B5AD" w14:textId="77777777" w:rsidTr="005C3935">
        <w:trPr>
          <w:trHeight w:val="317"/>
        </w:trPr>
        <w:tc>
          <w:tcPr>
            <w:tcW w:w="108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16F715" w14:textId="77777777" w:rsidR="00D05B67" w:rsidRPr="005C3935" w:rsidRDefault="00D05B67" w:rsidP="00696582">
            <w:pPr>
              <w:numPr>
                <w:ilvl w:val="0"/>
                <w:numId w:val="45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b/>
                <w:sz w:val="22"/>
                <w:szCs w:val="22"/>
              </w:rPr>
              <w:t>ESTUDIOS TÉCNICOS QUE SUSTENTEN EL PROYECTO NORMATIVO</w:t>
            </w:r>
            <w:r w:rsidRPr="005C3935">
              <w:rPr>
                <w:rFonts w:ascii="Arial Narrow" w:hAnsi="Arial Narrow" w:cs="Arial"/>
                <w:sz w:val="22"/>
                <w:szCs w:val="22"/>
              </w:rPr>
              <w:t xml:space="preserve"> (Si cuenta con ellos)</w:t>
            </w:r>
            <w:r w:rsidR="00696582" w:rsidRPr="005C393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DF60FD" w:rsidRPr="009F7CED" w14:paraId="23581418" w14:textId="77777777" w:rsidTr="005C3935">
        <w:trPr>
          <w:trHeight w:val="66"/>
        </w:trPr>
        <w:tc>
          <w:tcPr>
            <w:tcW w:w="108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73678A" w14:textId="77777777" w:rsidR="00843EFF" w:rsidRPr="005C3935" w:rsidRDefault="00843EFF" w:rsidP="00A161B9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DF60FD" w:rsidRPr="009F7CED" w14:paraId="0E9DFB0E" w14:textId="77777777" w:rsidTr="005C3935">
        <w:trPr>
          <w:trHeight w:val="66"/>
        </w:trPr>
        <w:tc>
          <w:tcPr>
            <w:tcW w:w="108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0792F9" w14:textId="0EB04E9C" w:rsidR="00DF60FD" w:rsidRPr="005C3935" w:rsidRDefault="00B25D83" w:rsidP="00E01109">
            <w:pPr>
              <w:spacing w:after="200" w:line="276" w:lineRule="auto"/>
              <w:ind w:left="720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s-CO" w:eastAsia="es-CO"/>
              </w:rPr>
              <w:t>La elaboración del proyecto de resolución no requiere de</w:t>
            </w:r>
            <w:r w:rsidR="004B2DCB">
              <w:rPr>
                <w:rFonts w:ascii="Arial Narrow" w:hAnsi="Arial Narrow"/>
                <w:sz w:val="22"/>
                <w:szCs w:val="22"/>
                <w:lang w:val="es-CO" w:eastAsia="es-CO"/>
              </w:rPr>
              <w:t xml:space="preserve"> </w:t>
            </w:r>
            <w:r w:rsidR="00E01109" w:rsidRPr="00B900F0">
              <w:rPr>
                <w:rFonts w:ascii="Arial Narrow" w:hAnsi="Arial Narrow"/>
                <w:sz w:val="22"/>
                <w:szCs w:val="22"/>
                <w:lang w:val="es-CO" w:eastAsia="es-CO"/>
              </w:rPr>
              <w:t>estudios técnicos.</w:t>
            </w:r>
          </w:p>
        </w:tc>
      </w:tr>
      <w:tr w:rsidR="00DF60FD" w:rsidRPr="009F7CED" w14:paraId="0337B415" w14:textId="77777777" w:rsidTr="005C3935">
        <w:trPr>
          <w:trHeight w:val="66"/>
        </w:trPr>
        <w:tc>
          <w:tcPr>
            <w:tcW w:w="108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4FC16" w14:textId="77777777" w:rsidR="00DF60FD" w:rsidRPr="009F7CED" w:rsidRDefault="00DF60FD" w:rsidP="00843EFF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DF60FD" w:rsidRPr="00D965B1" w14:paraId="3E04D6D6" w14:textId="77777777" w:rsidTr="005C3935">
        <w:trPr>
          <w:trHeight w:val="416"/>
        </w:trPr>
        <w:tc>
          <w:tcPr>
            <w:tcW w:w="108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B8AFF"/>
            <w:vAlign w:val="center"/>
          </w:tcPr>
          <w:p w14:paraId="0B04462D" w14:textId="77777777" w:rsidR="00F55DC4" w:rsidRPr="005C3935" w:rsidRDefault="00DF60FD" w:rsidP="00696582">
            <w:pPr>
              <w:jc w:val="center"/>
              <w:rPr>
                <w:rFonts w:ascii="Arial Narrow" w:hAnsi="Arial Narrow" w:cs="Arial"/>
                <w:color w:val="FFFFFF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ANEXOS</w:t>
            </w:r>
            <w:r w:rsidR="00D05B67" w:rsidRPr="005C3935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:</w:t>
            </w:r>
            <w:r w:rsidR="00696582" w:rsidRPr="005C3935">
              <w:rPr>
                <w:rFonts w:ascii="Arial Narrow" w:hAnsi="Arial Narrow" w:cs="Arial"/>
                <w:color w:val="FFFFFF"/>
                <w:sz w:val="22"/>
                <w:szCs w:val="22"/>
              </w:rPr>
              <w:t xml:space="preserve"> </w:t>
            </w:r>
          </w:p>
        </w:tc>
      </w:tr>
      <w:tr w:rsidR="00D05B67" w:rsidRPr="009F7CED" w14:paraId="43983732" w14:textId="77777777" w:rsidTr="005C3935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299D6" w14:textId="77777777" w:rsidR="00D05B67" w:rsidRPr="005C3935" w:rsidRDefault="00D05B67" w:rsidP="00D05B6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sz w:val="22"/>
                <w:szCs w:val="22"/>
              </w:rPr>
              <w:t xml:space="preserve">Certificación de cumplimiento de requisitos de consulta, publicidad y de incorporación en la agenda regulatoria </w:t>
            </w:r>
          </w:p>
          <w:p w14:paraId="10C489F3" w14:textId="77777777" w:rsidR="00D05B67" w:rsidRPr="005C3935" w:rsidRDefault="00D05B67" w:rsidP="00D05B67">
            <w:pPr>
              <w:jc w:val="both"/>
              <w:rPr>
                <w:rFonts w:ascii="Arial Narrow" w:hAnsi="Arial Narrow" w:cs="Arial"/>
                <w:i/>
                <w:color w:val="808080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i/>
                <w:color w:val="808080"/>
                <w:szCs w:val="22"/>
              </w:rPr>
              <w:t>(Firmada por el servidor público competente –entidad originadora)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ECF5A2" w14:textId="77777777" w:rsidR="00D05B67" w:rsidRPr="005C3935" w:rsidRDefault="00E01109" w:rsidP="00E01109">
            <w:pPr>
              <w:jc w:val="center"/>
              <w:rPr>
                <w:rFonts w:ascii="Arial Narrow" w:hAnsi="Arial Narrow" w:cs="Arial"/>
                <w:i/>
                <w:color w:val="808080"/>
                <w:sz w:val="22"/>
                <w:szCs w:val="22"/>
              </w:rPr>
            </w:pPr>
            <w:r w:rsidRPr="005C3935">
              <w:rPr>
                <w:rFonts w:ascii="Arial Narrow" w:hAnsi="Arial Narrow"/>
              </w:rPr>
              <w:t>N/A</w:t>
            </w:r>
          </w:p>
        </w:tc>
      </w:tr>
      <w:tr w:rsidR="00D05B67" w:rsidRPr="009F7CED" w14:paraId="1A077A2E" w14:textId="77777777" w:rsidTr="005C3935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A4FDB" w14:textId="77777777" w:rsidR="00D05B67" w:rsidRPr="005C3935" w:rsidRDefault="00D05B67" w:rsidP="00D05B6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sz w:val="22"/>
                <w:szCs w:val="22"/>
              </w:rPr>
              <w:t>Concepto</w:t>
            </w:r>
            <w:r w:rsidR="005F30C3" w:rsidRPr="005C3935">
              <w:rPr>
                <w:rFonts w:ascii="Arial Narrow" w:hAnsi="Arial Narrow" w:cs="Arial"/>
                <w:sz w:val="22"/>
                <w:szCs w:val="22"/>
              </w:rPr>
              <w:t>(s)</w:t>
            </w:r>
            <w:r w:rsidRPr="005C3935">
              <w:rPr>
                <w:rFonts w:ascii="Arial Narrow" w:hAnsi="Arial Narrow" w:cs="Arial"/>
                <w:sz w:val="22"/>
                <w:szCs w:val="22"/>
              </w:rPr>
              <w:t xml:space="preserve"> de Min</w:t>
            </w:r>
            <w:r w:rsidR="005F30C3" w:rsidRPr="005C3935">
              <w:rPr>
                <w:rFonts w:ascii="Arial Narrow" w:hAnsi="Arial Narrow" w:cs="Arial"/>
                <w:sz w:val="22"/>
                <w:szCs w:val="22"/>
              </w:rPr>
              <w:t>isterio de</w:t>
            </w:r>
            <w:r w:rsidRPr="005C3935">
              <w:rPr>
                <w:rFonts w:ascii="Arial Narrow" w:hAnsi="Arial Narrow" w:cs="Arial"/>
                <w:sz w:val="22"/>
                <w:szCs w:val="22"/>
              </w:rPr>
              <w:t xml:space="preserve"> Comercio</w:t>
            </w:r>
            <w:r w:rsidR="005F30C3" w:rsidRPr="005C3935">
              <w:rPr>
                <w:rFonts w:ascii="Arial Narrow" w:hAnsi="Arial Narrow" w:cs="Arial"/>
                <w:sz w:val="22"/>
                <w:szCs w:val="22"/>
              </w:rPr>
              <w:t>, Industria y Turismo</w:t>
            </w:r>
          </w:p>
          <w:p w14:paraId="72266477" w14:textId="77777777" w:rsidR="00D05B67" w:rsidRPr="005C3935" w:rsidRDefault="005F30C3" w:rsidP="00D05B67">
            <w:pPr>
              <w:jc w:val="both"/>
              <w:rPr>
                <w:rFonts w:ascii="Arial Narrow" w:hAnsi="Arial Narrow" w:cs="Arial"/>
                <w:i/>
                <w:color w:val="808080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i/>
                <w:color w:val="808080"/>
                <w:szCs w:val="22"/>
              </w:rPr>
              <w:t>(Cuando se trate de un proyecto de reglamento técnico o de procedimientos de evaluación de conformidad)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91640" w14:textId="77777777" w:rsidR="00D05B67" w:rsidRPr="005C3935" w:rsidRDefault="00E01109" w:rsidP="00E0110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3935">
              <w:rPr>
                <w:rFonts w:ascii="Arial Narrow" w:hAnsi="Arial Narrow"/>
              </w:rPr>
              <w:t>N/A</w:t>
            </w:r>
          </w:p>
        </w:tc>
      </w:tr>
      <w:tr w:rsidR="005F30C3" w:rsidRPr="009F7CED" w14:paraId="4974C416" w14:textId="77777777" w:rsidTr="005C3935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703E3" w14:textId="77777777" w:rsidR="005F30C3" w:rsidRPr="005C3935" w:rsidRDefault="005F30C3" w:rsidP="00D05B6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sz w:val="22"/>
                <w:szCs w:val="22"/>
              </w:rPr>
              <w:t xml:space="preserve">Informe de observaciones y respuestas </w:t>
            </w:r>
          </w:p>
          <w:p w14:paraId="588CF8C0" w14:textId="77777777" w:rsidR="005F30C3" w:rsidRPr="005C3935" w:rsidRDefault="005F30C3" w:rsidP="00D05B67">
            <w:pPr>
              <w:jc w:val="both"/>
              <w:rPr>
                <w:rFonts w:ascii="Arial Narrow" w:hAnsi="Arial Narrow" w:cs="Arial"/>
                <w:i/>
                <w:color w:val="808080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i/>
                <w:color w:val="808080"/>
                <w:szCs w:val="22"/>
              </w:rPr>
              <w:t>(Análisis del informe con la evaluación de las observaciones de los ciudadanos y grupos de interés sobre el proyecto normativo)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FBD0F" w14:textId="7D11F5E1" w:rsidR="005F30C3" w:rsidRPr="005C3935" w:rsidRDefault="004B2DCB" w:rsidP="0054119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  <w:tr w:rsidR="005F30C3" w:rsidRPr="009F7CED" w14:paraId="1026E3F9" w14:textId="77777777" w:rsidTr="005C3935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35F74" w14:textId="77777777" w:rsidR="005F30C3" w:rsidRPr="005C3935" w:rsidRDefault="005F30C3" w:rsidP="00D05B6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sz w:val="22"/>
                <w:szCs w:val="22"/>
              </w:rPr>
              <w:t>Concepto de Abogacía de la Competencia de la Superintendencia de Industria y Comercio</w:t>
            </w:r>
          </w:p>
          <w:p w14:paraId="73C1A859" w14:textId="77777777" w:rsidR="005F30C3" w:rsidRPr="005C3935" w:rsidRDefault="005F30C3" w:rsidP="00D05B67">
            <w:pPr>
              <w:jc w:val="both"/>
              <w:rPr>
                <w:rFonts w:ascii="Arial Narrow" w:hAnsi="Arial Narrow" w:cs="Arial"/>
                <w:i/>
                <w:color w:val="808080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i/>
                <w:color w:val="808080"/>
                <w:szCs w:val="22"/>
              </w:rPr>
              <w:t>(Cuando los proyectos normativos tengan incidencia en la libre competencia de los mercados)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645BE9" w14:textId="77777777" w:rsidR="005F30C3" w:rsidRPr="005C3935" w:rsidRDefault="00E01109" w:rsidP="00E0110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3935">
              <w:rPr>
                <w:rFonts w:ascii="Arial Narrow" w:hAnsi="Arial Narrow"/>
              </w:rPr>
              <w:t>N/A</w:t>
            </w:r>
          </w:p>
        </w:tc>
      </w:tr>
      <w:tr w:rsidR="005F30C3" w:rsidRPr="009F7CED" w14:paraId="6ED6F01C" w14:textId="77777777" w:rsidTr="005C3935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47144" w14:textId="77777777" w:rsidR="005F30C3" w:rsidRPr="005C3935" w:rsidRDefault="005F30C3" w:rsidP="00D05B6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sz w:val="22"/>
                <w:szCs w:val="22"/>
              </w:rPr>
              <w:t>Concepto de aprobación nuevos trámites del Departamento Administrativo de la Función Pública</w:t>
            </w:r>
          </w:p>
          <w:p w14:paraId="287A252E" w14:textId="77777777" w:rsidR="005F30C3" w:rsidRPr="005C3935" w:rsidRDefault="005F30C3" w:rsidP="00D05B6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i/>
                <w:color w:val="808080"/>
                <w:szCs w:val="22"/>
              </w:rPr>
              <w:t>(Cuando el proyecto normativo adopte o modifique un trámite)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129A1" w14:textId="77777777" w:rsidR="005F30C3" w:rsidRPr="005C3935" w:rsidRDefault="002C0F69" w:rsidP="002C0F6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3935">
              <w:rPr>
                <w:rFonts w:ascii="Arial Narrow" w:hAnsi="Arial Narrow"/>
              </w:rPr>
              <w:t>N/A</w:t>
            </w:r>
          </w:p>
        </w:tc>
      </w:tr>
      <w:tr w:rsidR="005F30C3" w:rsidRPr="009F7CED" w14:paraId="446A9B06" w14:textId="77777777" w:rsidTr="005C3935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64E4B" w14:textId="77777777" w:rsidR="005F30C3" w:rsidRPr="005C3935" w:rsidRDefault="005F30C3" w:rsidP="00084B4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sz w:val="22"/>
                <w:szCs w:val="22"/>
              </w:rPr>
              <w:t xml:space="preserve">Otro </w:t>
            </w:r>
          </w:p>
          <w:p w14:paraId="40B67148" w14:textId="77777777" w:rsidR="005F30C3" w:rsidRPr="005C3935" w:rsidRDefault="005F30C3" w:rsidP="00084B4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C3935">
              <w:rPr>
                <w:rFonts w:ascii="Arial Narrow" w:hAnsi="Arial Narrow" w:cs="Arial"/>
                <w:i/>
                <w:color w:val="808080"/>
                <w:szCs w:val="22"/>
              </w:rPr>
              <w:t>(Cualquier otro aspecto que la entidad originadora de la norma considere relevante o de importancia)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4AF6C" w14:textId="77777777" w:rsidR="005F30C3" w:rsidRPr="005C3935" w:rsidRDefault="002C0F69" w:rsidP="002C0F6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3935">
              <w:rPr>
                <w:rFonts w:ascii="Arial Narrow" w:hAnsi="Arial Narrow"/>
              </w:rPr>
              <w:t>N/A</w:t>
            </w:r>
          </w:p>
        </w:tc>
      </w:tr>
    </w:tbl>
    <w:p w14:paraId="48CA1862" w14:textId="77777777" w:rsidR="00301DC2" w:rsidRPr="009F7CED" w:rsidRDefault="00301DC2" w:rsidP="00587695">
      <w:pPr>
        <w:ind w:right="-377"/>
        <w:jc w:val="both"/>
        <w:rPr>
          <w:rFonts w:cs="Arial"/>
          <w:sz w:val="22"/>
          <w:szCs w:val="22"/>
        </w:rPr>
      </w:pPr>
    </w:p>
    <w:p w14:paraId="0C165453" w14:textId="77777777" w:rsidR="00B66D03" w:rsidRPr="005C3935" w:rsidRDefault="000B30A6" w:rsidP="00696582">
      <w:pPr>
        <w:ind w:left="-1276" w:right="-377" w:firstLine="283"/>
        <w:jc w:val="both"/>
        <w:rPr>
          <w:rFonts w:ascii="Arial Narrow" w:hAnsi="Arial Narrow" w:cs="Arial"/>
          <w:b/>
          <w:sz w:val="22"/>
          <w:szCs w:val="22"/>
        </w:rPr>
      </w:pPr>
      <w:r w:rsidRPr="005C3935">
        <w:rPr>
          <w:rFonts w:ascii="Arial Narrow" w:hAnsi="Arial Narrow" w:cs="Arial"/>
          <w:b/>
          <w:sz w:val="22"/>
          <w:szCs w:val="22"/>
        </w:rPr>
        <w:t>Aprobó</w:t>
      </w:r>
      <w:r w:rsidR="00CB4D37" w:rsidRPr="005C3935">
        <w:rPr>
          <w:rFonts w:ascii="Arial Narrow" w:hAnsi="Arial Narrow" w:cs="Arial"/>
          <w:b/>
          <w:sz w:val="22"/>
          <w:szCs w:val="22"/>
        </w:rPr>
        <w:t>:</w:t>
      </w:r>
    </w:p>
    <w:p w14:paraId="4FADBD22" w14:textId="77777777" w:rsidR="00B66D03" w:rsidRPr="009F7CED" w:rsidRDefault="00B66D03" w:rsidP="00086B16">
      <w:pPr>
        <w:ind w:left="-1276" w:right="-377"/>
        <w:jc w:val="both"/>
        <w:rPr>
          <w:rFonts w:cs="Arial"/>
          <w:sz w:val="22"/>
          <w:szCs w:val="22"/>
        </w:rPr>
      </w:pPr>
    </w:p>
    <w:p w14:paraId="70FEBDE7" w14:textId="77777777" w:rsidR="00014D67" w:rsidRPr="005C3935" w:rsidRDefault="00014D67" w:rsidP="00086B16">
      <w:pPr>
        <w:ind w:left="-1276" w:right="-377"/>
        <w:jc w:val="both"/>
        <w:rPr>
          <w:rFonts w:ascii="Arial Narrow" w:hAnsi="Arial Narrow" w:cs="Arial"/>
          <w:sz w:val="22"/>
          <w:szCs w:val="22"/>
        </w:rPr>
      </w:pPr>
    </w:p>
    <w:p w14:paraId="77C833F0" w14:textId="77777777" w:rsidR="00D05B67" w:rsidRPr="005C3935" w:rsidRDefault="00D05B67" w:rsidP="00D05B67">
      <w:pPr>
        <w:pStyle w:val="Listavistosa-nfasis11"/>
        <w:jc w:val="both"/>
        <w:rPr>
          <w:rFonts w:ascii="Arial Narrow" w:hAnsi="Arial Narrow" w:cs="Arial"/>
          <w:b/>
        </w:rPr>
      </w:pPr>
      <w:r w:rsidRPr="005C3935">
        <w:rPr>
          <w:rFonts w:ascii="Arial Narrow" w:hAnsi="Arial Narrow" w:cs="Arial"/>
          <w:b/>
        </w:rPr>
        <w:t>_________________</w:t>
      </w:r>
    </w:p>
    <w:p w14:paraId="2E185622" w14:textId="77777777" w:rsidR="004B2DCB" w:rsidRDefault="004B2DCB" w:rsidP="00696582">
      <w:pPr>
        <w:pStyle w:val="Listavistosa-nfasis11"/>
        <w:rPr>
          <w:rFonts w:ascii="Arial Narrow" w:hAnsi="Arial Narrow" w:cs="Arial"/>
          <w:b/>
        </w:rPr>
      </w:pPr>
    </w:p>
    <w:p w14:paraId="6B3BAF32" w14:textId="258EC8F0" w:rsidR="004B2DCB" w:rsidRDefault="004B2DCB" w:rsidP="00696582">
      <w:pPr>
        <w:pStyle w:val="Listavistosa-nfasis11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ANDRÉS DIAZ MOLINA</w:t>
      </w:r>
    </w:p>
    <w:p w14:paraId="33044EDC" w14:textId="27F82A39" w:rsidR="004B2DCB" w:rsidRDefault="004B2DCB" w:rsidP="008539AD">
      <w:pPr>
        <w:pStyle w:val="Listavistosa-nfasis11"/>
        <w:ind w:left="0" w:firstLine="708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Coordinador del GIT de Seguridad de Privacidad de la Información</w:t>
      </w:r>
    </w:p>
    <w:p w14:paraId="4F89924F" w14:textId="77777777" w:rsidR="004B2DCB" w:rsidRDefault="004B2DCB" w:rsidP="00696582">
      <w:pPr>
        <w:pStyle w:val="Listavistosa-nfasis11"/>
        <w:rPr>
          <w:rFonts w:ascii="Arial Narrow" w:hAnsi="Arial Narrow" w:cs="Arial"/>
          <w:b/>
        </w:rPr>
      </w:pPr>
    </w:p>
    <w:p w14:paraId="16D0CF10" w14:textId="77777777" w:rsidR="008539AD" w:rsidRDefault="008539AD" w:rsidP="00696582">
      <w:pPr>
        <w:pStyle w:val="Listavistosa-nfasis11"/>
        <w:rPr>
          <w:rFonts w:ascii="Arial Narrow" w:hAnsi="Arial Narrow" w:cs="Arial"/>
          <w:b/>
        </w:rPr>
      </w:pPr>
    </w:p>
    <w:p w14:paraId="42A82845" w14:textId="49D397DA" w:rsidR="008539AD" w:rsidRDefault="004B2DCB" w:rsidP="00696582">
      <w:pPr>
        <w:pStyle w:val="Listavistosa-nfasis11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MARIA CAMILA GUTI</w:t>
      </w:r>
      <w:r w:rsidR="00B25D83">
        <w:rPr>
          <w:rFonts w:ascii="Arial Narrow" w:hAnsi="Arial Narrow" w:cs="Arial"/>
          <w:b/>
        </w:rPr>
        <w:t>É</w:t>
      </w:r>
      <w:r>
        <w:rPr>
          <w:rFonts w:ascii="Arial Narrow" w:hAnsi="Arial Narrow" w:cs="Arial"/>
          <w:b/>
        </w:rPr>
        <w:t>RREZ</w:t>
      </w:r>
      <w:r w:rsidR="00B25D83">
        <w:rPr>
          <w:rFonts w:ascii="Arial Narrow" w:hAnsi="Arial Narrow" w:cs="Arial"/>
          <w:b/>
        </w:rPr>
        <w:t xml:space="preserve"> TORRES</w:t>
      </w:r>
      <w:r w:rsidR="00D05B67" w:rsidRPr="008539AD">
        <w:rPr>
          <w:rFonts w:ascii="Arial Narrow" w:hAnsi="Arial Narrow" w:cs="Arial"/>
          <w:b/>
        </w:rPr>
        <w:t xml:space="preserve"> </w:t>
      </w:r>
    </w:p>
    <w:p w14:paraId="567D631D" w14:textId="5179A404" w:rsidR="00D05B67" w:rsidRDefault="007236DA" w:rsidP="00696582">
      <w:pPr>
        <w:pStyle w:val="Listavistosa-nfasis11"/>
        <w:rPr>
          <w:rFonts w:ascii="Arial Narrow" w:hAnsi="Arial Narrow" w:cs="Arial"/>
          <w:b/>
        </w:rPr>
      </w:pPr>
      <w:r w:rsidRPr="008539AD">
        <w:rPr>
          <w:rFonts w:ascii="Arial Narrow" w:hAnsi="Arial Narrow" w:cs="Arial"/>
          <w:b/>
        </w:rPr>
        <w:t>Director</w:t>
      </w:r>
      <w:r w:rsidR="004B2DCB">
        <w:rPr>
          <w:rFonts w:ascii="Arial Narrow" w:hAnsi="Arial Narrow" w:cs="Arial"/>
          <w:b/>
        </w:rPr>
        <w:t>a</w:t>
      </w:r>
      <w:r w:rsidRPr="005C3935">
        <w:rPr>
          <w:rFonts w:ascii="Arial Narrow" w:hAnsi="Arial Narrow" w:cs="Arial"/>
          <w:b/>
        </w:rPr>
        <w:t xml:space="preserve"> Jurídic</w:t>
      </w:r>
      <w:r w:rsidR="004B2DCB">
        <w:rPr>
          <w:rFonts w:ascii="Arial Narrow" w:hAnsi="Arial Narrow" w:cs="Arial"/>
          <w:b/>
        </w:rPr>
        <w:t>a</w:t>
      </w:r>
    </w:p>
    <w:p w14:paraId="429620C5" w14:textId="1473EDF3" w:rsidR="00B25D83" w:rsidRDefault="00B25D83" w:rsidP="00696582">
      <w:pPr>
        <w:pStyle w:val="Listavistosa-nfasis11"/>
        <w:rPr>
          <w:rFonts w:ascii="Arial Narrow" w:hAnsi="Arial Narrow" w:cs="Arial"/>
          <w:b/>
        </w:rPr>
      </w:pPr>
    </w:p>
    <w:p w14:paraId="3E7C4896" w14:textId="3C2A9CF1" w:rsidR="00B25D83" w:rsidRPr="00B25D83" w:rsidRDefault="00B25D83" w:rsidP="00696582">
      <w:pPr>
        <w:pStyle w:val="Listavistosa-nfasis11"/>
        <w:rPr>
          <w:rFonts w:ascii="Arial Narrow" w:hAnsi="Arial Narrow" w:cs="Arial"/>
          <w:sz w:val="18"/>
          <w:szCs w:val="18"/>
        </w:rPr>
      </w:pPr>
      <w:r w:rsidRPr="00B25D83">
        <w:rPr>
          <w:rFonts w:ascii="Arial Narrow" w:hAnsi="Arial Narrow" w:cs="Arial"/>
          <w:b/>
          <w:sz w:val="18"/>
          <w:szCs w:val="18"/>
        </w:rPr>
        <w:t xml:space="preserve">Proyectó: </w:t>
      </w:r>
      <w:r w:rsidR="00612F88" w:rsidRPr="00612F88">
        <w:rPr>
          <w:rFonts w:ascii="Arial Narrow" w:hAnsi="Arial Narrow" w:cs="Arial"/>
          <w:sz w:val="18"/>
          <w:szCs w:val="18"/>
        </w:rPr>
        <w:t>Rosa Lucia Ortega Muleth</w:t>
      </w:r>
      <w:r w:rsidR="00612F88">
        <w:rPr>
          <w:rFonts w:ascii="Arial Narrow" w:hAnsi="Arial Narrow" w:cs="Arial"/>
          <w:sz w:val="18"/>
          <w:szCs w:val="18"/>
        </w:rPr>
        <w:t xml:space="preserve"> – GIT de Seguridad y Privacidad de la Información </w:t>
      </w:r>
    </w:p>
    <w:p w14:paraId="1CBE9734" w14:textId="73EF868C" w:rsidR="00B25D83" w:rsidRPr="00B25D83" w:rsidRDefault="00B25D83" w:rsidP="00696582">
      <w:pPr>
        <w:pStyle w:val="Listavistosa-nfasis11"/>
        <w:rPr>
          <w:rFonts w:ascii="Arial Narrow" w:hAnsi="Arial Narrow" w:cs="Arial"/>
          <w:sz w:val="18"/>
          <w:szCs w:val="18"/>
        </w:rPr>
      </w:pPr>
      <w:r w:rsidRPr="00485ED3">
        <w:rPr>
          <w:rFonts w:ascii="Arial Narrow" w:hAnsi="Arial Narrow" w:cs="Arial"/>
          <w:b/>
          <w:bCs/>
          <w:sz w:val="18"/>
          <w:szCs w:val="18"/>
        </w:rPr>
        <w:t>Revisó:</w:t>
      </w:r>
      <w:r w:rsidRPr="00485ED3">
        <w:rPr>
          <w:rFonts w:ascii="Arial Narrow" w:hAnsi="Arial Narrow" w:cs="Arial"/>
          <w:sz w:val="18"/>
          <w:szCs w:val="18"/>
        </w:rPr>
        <w:t xml:space="preserve"> </w:t>
      </w:r>
      <w:r w:rsidRPr="00B25D83">
        <w:rPr>
          <w:rFonts w:ascii="Arial Narrow" w:hAnsi="Arial Narrow" w:cs="Arial"/>
          <w:sz w:val="18"/>
          <w:szCs w:val="18"/>
        </w:rPr>
        <w:t>Luis Leonardo Monguí Rojas – Coordinador GIT de Doctrina y Seguridad Jurídica</w:t>
      </w:r>
    </w:p>
    <w:p w14:paraId="641F0439" w14:textId="14F1F685" w:rsidR="004B2DCB" w:rsidRPr="00612F88" w:rsidRDefault="004B2DCB" w:rsidP="00696582">
      <w:pPr>
        <w:pStyle w:val="Listavistosa-nfasis11"/>
        <w:rPr>
          <w:rFonts w:ascii="Arial Narrow" w:hAnsi="Arial Narrow" w:cs="Arial"/>
          <w:sz w:val="18"/>
          <w:szCs w:val="18"/>
        </w:rPr>
      </w:pPr>
    </w:p>
    <w:p w14:paraId="218B10CE" w14:textId="3738C931" w:rsidR="004B2DCB" w:rsidRPr="005C3935" w:rsidRDefault="004B2DCB" w:rsidP="005C3935">
      <w:pPr>
        <w:pStyle w:val="Listavistosa-nfasis11"/>
        <w:ind w:left="0"/>
        <w:rPr>
          <w:rFonts w:ascii="Arial Narrow" w:hAnsi="Arial Narrow" w:cs="Arial"/>
          <w:b/>
        </w:rPr>
      </w:pPr>
    </w:p>
    <w:p w14:paraId="23504327" w14:textId="77777777" w:rsidR="00D05B67" w:rsidRPr="005C3935" w:rsidRDefault="00D05B67" w:rsidP="00696582">
      <w:pPr>
        <w:pStyle w:val="Listavistosa-nfasis11"/>
        <w:rPr>
          <w:rFonts w:ascii="Arial Narrow" w:hAnsi="Arial Narrow" w:cs="Arial"/>
          <w:b/>
        </w:rPr>
      </w:pPr>
    </w:p>
    <w:p w14:paraId="2FBCD03A" w14:textId="127AEA85" w:rsidR="006779DA" w:rsidRPr="005C3935" w:rsidRDefault="006779DA" w:rsidP="00696582">
      <w:pPr>
        <w:pStyle w:val="Listavistosa-nfasis11"/>
        <w:rPr>
          <w:rFonts w:ascii="Arial Narrow" w:hAnsi="Arial Narrow" w:cs="Arial"/>
          <w:b/>
        </w:rPr>
      </w:pPr>
    </w:p>
    <w:sectPr w:rsidR="006779DA" w:rsidRPr="005C3935" w:rsidSect="00696582"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616" w:right="1701" w:bottom="1115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CC5E" w14:textId="77777777" w:rsidR="00A17FD4" w:rsidRDefault="00A17FD4">
      <w:r>
        <w:separator/>
      </w:r>
    </w:p>
  </w:endnote>
  <w:endnote w:type="continuationSeparator" w:id="0">
    <w:p w14:paraId="650B61B9" w14:textId="77777777" w:rsidR="00A17FD4" w:rsidRDefault="00A1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77BA" w14:textId="77777777" w:rsidR="00836C6A" w:rsidRDefault="00836C6A">
    <w:pPr>
      <w:pStyle w:val="Piedepgina"/>
      <w:jc w:val="right"/>
    </w:pPr>
    <w:r>
      <w:fldChar w:fldCharType="begin"/>
    </w:r>
    <w:r w:rsidR="00A120D6">
      <w:instrText>PAGE</w:instrText>
    </w:r>
    <w:r>
      <w:instrText xml:space="preserve">   \* MERGEFORMAT</w:instrText>
    </w:r>
    <w:r>
      <w:fldChar w:fldCharType="separate"/>
    </w:r>
    <w:r w:rsidR="008D1D44">
      <w:rPr>
        <w:noProof/>
      </w:rPr>
      <w:t>2</w:t>
    </w:r>
    <w:r>
      <w:fldChar w:fldCharType="end"/>
    </w:r>
  </w:p>
  <w:p w14:paraId="2BE3DB3C" w14:textId="77777777" w:rsidR="00F07A7D" w:rsidRPr="0084294E" w:rsidRDefault="00F07A7D" w:rsidP="00FA4A9E">
    <w:pPr>
      <w:pStyle w:val="Piedepgina"/>
      <w:jc w:val="center"/>
      <w:rPr>
        <w:sz w:val="18"/>
        <w:szCs w:val="18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AF49" w14:textId="77777777" w:rsidR="00A17FD4" w:rsidRDefault="00A17FD4">
      <w:r>
        <w:separator/>
      </w:r>
    </w:p>
  </w:footnote>
  <w:footnote w:type="continuationSeparator" w:id="0">
    <w:p w14:paraId="5B2DA563" w14:textId="77777777" w:rsidR="00A17FD4" w:rsidRDefault="00A1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9427" w14:textId="77777777" w:rsidR="00F07A7D" w:rsidRDefault="00F07A7D">
    <w:pPr>
      <w:pStyle w:val="Encabezado"/>
    </w:pPr>
  </w:p>
  <w:tbl>
    <w:tblPr>
      <w:tblW w:w="10798" w:type="dxa"/>
      <w:tblInd w:w="-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6545"/>
    </w:tblGrid>
    <w:tr w:rsidR="00696582" w14:paraId="3EAAA2BD" w14:textId="77777777" w:rsidTr="001447C1">
      <w:tc>
        <w:tcPr>
          <w:tcW w:w="4253" w:type="dxa"/>
          <w:shd w:val="clear" w:color="auto" w:fill="auto"/>
        </w:tcPr>
        <w:p w14:paraId="3B588BBD" w14:textId="77777777" w:rsidR="00696582" w:rsidRDefault="00233151" w:rsidP="001447C1">
          <w:pPr>
            <w:pStyle w:val="Encabezado"/>
          </w:pPr>
          <w:r w:rsidRPr="00D965B1">
            <w:rPr>
              <w:noProof/>
              <w:lang w:val="es-ES_tradnl" w:eastAsia="es-ES_tradnl"/>
            </w:rPr>
            <w:drawing>
              <wp:inline distT="0" distB="0" distL="0" distR="0" wp14:anchorId="63C3940B" wp14:editId="61135571">
                <wp:extent cx="2562225" cy="542925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22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5" w:type="dxa"/>
          <w:shd w:val="clear" w:color="auto" w:fill="auto"/>
          <w:vAlign w:val="center"/>
        </w:tcPr>
        <w:p w14:paraId="4EF596E5" w14:textId="77777777" w:rsidR="00696582" w:rsidRDefault="00696582" w:rsidP="001447C1">
          <w:pPr>
            <w:pStyle w:val="Ttulo2"/>
            <w:ind w:left="72" w:right="72"/>
          </w:pPr>
          <w:r w:rsidRPr="00FD3D04">
            <w:rPr>
              <w:rFonts w:cs="Arial"/>
              <w:bCs/>
              <w:color w:val="000000"/>
              <w:sz w:val="24"/>
              <w:szCs w:val="24"/>
            </w:rPr>
            <w:t>FORMATO MEMORIA JUSTIFICATIVA</w:t>
          </w:r>
        </w:p>
      </w:tc>
    </w:tr>
  </w:tbl>
  <w:p w14:paraId="3331F471" w14:textId="77777777" w:rsidR="00F07A7D" w:rsidRDefault="00F07A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8" w:type="dxa"/>
      <w:tblInd w:w="-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6545"/>
    </w:tblGrid>
    <w:tr w:rsidR="00350767" w14:paraId="4819D672" w14:textId="77777777" w:rsidTr="00FD3D04">
      <w:tc>
        <w:tcPr>
          <w:tcW w:w="4253" w:type="dxa"/>
          <w:shd w:val="clear" w:color="auto" w:fill="auto"/>
        </w:tcPr>
        <w:p w14:paraId="422D0B70" w14:textId="77777777" w:rsidR="00350767" w:rsidRDefault="00233151">
          <w:pPr>
            <w:pStyle w:val="Encabezado"/>
          </w:pPr>
          <w:r w:rsidRPr="00D965B1">
            <w:rPr>
              <w:noProof/>
              <w:lang w:val="es-ES_tradnl" w:eastAsia="es-ES_tradnl"/>
            </w:rPr>
            <w:drawing>
              <wp:inline distT="0" distB="0" distL="0" distR="0" wp14:anchorId="3DC1BC06" wp14:editId="1EEE924E">
                <wp:extent cx="2484309" cy="54292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0006" cy="548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5" w:type="dxa"/>
          <w:shd w:val="clear" w:color="auto" w:fill="auto"/>
          <w:vAlign w:val="center"/>
        </w:tcPr>
        <w:p w14:paraId="551CACB1" w14:textId="77777777" w:rsidR="00350767" w:rsidRDefault="00350767" w:rsidP="00FD3D04">
          <w:pPr>
            <w:pStyle w:val="Ttulo2"/>
            <w:ind w:left="72" w:right="72"/>
          </w:pPr>
          <w:r w:rsidRPr="00FD3D04">
            <w:rPr>
              <w:rFonts w:cs="Arial"/>
              <w:bCs/>
              <w:color w:val="000000"/>
              <w:sz w:val="24"/>
              <w:szCs w:val="24"/>
            </w:rPr>
            <w:t>FORMATO MEMORIA JUSTIFICATIVA</w:t>
          </w:r>
        </w:p>
      </w:tc>
    </w:tr>
  </w:tbl>
  <w:p w14:paraId="2244AC95" w14:textId="77777777" w:rsidR="00350767" w:rsidRDefault="003507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1F71"/>
    <w:multiLevelType w:val="hybridMultilevel"/>
    <w:tmpl w:val="E22093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E34"/>
    <w:multiLevelType w:val="hybridMultilevel"/>
    <w:tmpl w:val="EBC2F2E6"/>
    <w:lvl w:ilvl="0" w:tplc="D3C24856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945B7"/>
    <w:multiLevelType w:val="hybridMultilevel"/>
    <w:tmpl w:val="9BA8E9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F2FD2"/>
    <w:multiLevelType w:val="hybridMultilevel"/>
    <w:tmpl w:val="23780C54"/>
    <w:lvl w:ilvl="0" w:tplc="7122AF3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43E1"/>
    <w:multiLevelType w:val="hybridMultilevel"/>
    <w:tmpl w:val="3E3C0C3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7F4"/>
    <w:multiLevelType w:val="hybridMultilevel"/>
    <w:tmpl w:val="471ED7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331E40"/>
    <w:multiLevelType w:val="hybridMultilevel"/>
    <w:tmpl w:val="7EB8E8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225D5"/>
    <w:multiLevelType w:val="hybridMultilevel"/>
    <w:tmpl w:val="2752FB6E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7F7418"/>
    <w:multiLevelType w:val="hybridMultilevel"/>
    <w:tmpl w:val="561034C0"/>
    <w:lvl w:ilvl="0" w:tplc="C688F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936F7"/>
    <w:multiLevelType w:val="hybridMultilevel"/>
    <w:tmpl w:val="E45095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C3AAB"/>
    <w:multiLevelType w:val="hybridMultilevel"/>
    <w:tmpl w:val="C72A38F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30D56"/>
    <w:multiLevelType w:val="hybridMultilevel"/>
    <w:tmpl w:val="B512F1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D6525"/>
    <w:multiLevelType w:val="hybridMultilevel"/>
    <w:tmpl w:val="14323D5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D575C"/>
    <w:multiLevelType w:val="hybridMultilevel"/>
    <w:tmpl w:val="903E42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438A4"/>
    <w:multiLevelType w:val="hybridMultilevel"/>
    <w:tmpl w:val="CC544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17AA6"/>
    <w:multiLevelType w:val="hybridMultilevel"/>
    <w:tmpl w:val="78BE8B20"/>
    <w:lvl w:ilvl="0" w:tplc="D10EA2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33F05"/>
    <w:multiLevelType w:val="hybridMultilevel"/>
    <w:tmpl w:val="DBDC35E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41FF"/>
    <w:multiLevelType w:val="multilevel"/>
    <w:tmpl w:val="078847B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7C7321"/>
    <w:multiLevelType w:val="hybridMultilevel"/>
    <w:tmpl w:val="EF704034"/>
    <w:lvl w:ilvl="0" w:tplc="3AAE91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32023"/>
    <w:multiLevelType w:val="hybridMultilevel"/>
    <w:tmpl w:val="E91C692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3505B7"/>
    <w:multiLevelType w:val="hybridMultilevel"/>
    <w:tmpl w:val="E4EA7A7A"/>
    <w:lvl w:ilvl="0" w:tplc="240A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1" w15:restartNumberingAfterBreak="0">
    <w:nsid w:val="40A3792D"/>
    <w:multiLevelType w:val="hybridMultilevel"/>
    <w:tmpl w:val="1150A7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C1A61"/>
    <w:multiLevelType w:val="hybridMultilevel"/>
    <w:tmpl w:val="9C96BFC6"/>
    <w:lvl w:ilvl="0" w:tplc="AE5A3D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27B63"/>
    <w:multiLevelType w:val="hybridMultilevel"/>
    <w:tmpl w:val="7BC80F2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E38A9"/>
    <w:multiLevelType w:val="hybridMultilevel"/>
    <w:tmpl w:val="B6C654B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811299"/>
    <w:multiLevelType w:val="hybridMultilevel"/>
    <w:tmpl w:val="4CAE1F3E"/>
    <w:lvl w:ilvl="0" w:tplc="C5F83004">
      <w:start w:val="144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20AD0"/>
    <w:multiLevelType w:val="hybridMultilevel"/>
    <w:tmpl w:val="44084084"/>
    <w:lvl w:ilvl="0" w:tplc="240A000D">
      <w:start w:val="1"/>
      <w:numFmt w:val="bullet"/>
      <w:lvlText w:val=""/>
      <w:lvlJc w:val="left"/>
      <w:pPr>
        <w:ind w:left="-10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-3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</w:abstractNum>
  <w:abstractNum w:abstractNumId="27" w15:restartNumberingAfterBreak="0">
    <w:nsid w:val="55612A01"/>
    <w:multiLevelType w:val="hybridMultilevel"/>
    <w:tmpl w:val="516C2342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6C63FAB"/>
    <w:multiLevelType w:val="hybridMultilevel"/>
    <w:tmpl w:val="4B2669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8006D"/>
    <w:multiLevelType w:val="hybridMultilevel"/>
    <w:tmpl w:val="1F986C7A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99274BB"/>
    <w:multiLevelType w:val="hybridMultilevel"/>
    <w:tmpl w:val="19B6D6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C27BD1"/>
    <w:multiLevelType w:val="hybridMultilevel"/>
    <w:tmpl w:val="B00A2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163EC"/>
    <w:multiLevelType w:val="hybridMultilevel"/>
    <w:tmpl w:val="2B166F1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423FF4"/>
    <w:multiLevelType w:val="multilevel"/>
    <w:tmpl w:val="60C250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 w15:restartNumberingAfterBreak="0">
    <w:nsid w:val="60682FB7"/>
    <w:multiLevelType w:val="hybridMultilevel"/>
    <w:tmpl w:val="6EB8E7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A438E4"/>
    <w:multiLevelType w:val="hybridMultilevel"/>
    <w:tmpl w:val="1602CE3A"/>
    <w:lvl w:ilvl="0" w:tplc="BB08A936">
      <w:numFmt w:val="bullet"/>
      <w:lvlText w:val="-"/>
      <w:lvlJc w:val="left"/>
      <w:pPr>
        <w:ind w:left="322" w:hanging="360"/>
      </w:pPr>
      <w:rPr>
        <w:rFonts w:ascii="Arial" w:eastAsia="Time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36" w15:restartNumberingAfterBreak="0">
    <w:nsid w:val="64573526"/>
    <w:multiLevelType w:val="hybridMultilevel"/>
    <w:tmpl w:val="665E973A"/>
    <w:lvl w:ilvl="0" w:tplc="2C08755A">
      <w:start w:val="1"/>
      <w:numFmt w:val="bullet"/>
      <w:lvlText w:val="•"/>
      <w:lvlJc w:val="left"/>
      <w:pPr>
        <w:tabs>
          <w:tab w:val="num" w:pos="999"/>
        </w:tabs>
        <w:ind w:left="999" w:hanging="360"/>
      </w:pPr>
      <w:rPr>
        <w:rFonts w:ascii="Arial" w:hAnsi="Arial" w:hint="default"/>
      </w:rPr>
    </w:lvl>
    <w:lvl w:ilvl="1" w:tplc="5AD0665A" w:tentative="1">
      <w:start w:val="1"/>
      <w:numFmt w:val="bullet"/>
      <w:lvlText w:val="•"/>
      <w:lvlJc w:val="left"/>
      <w:pPr>
        <w:tabs>
          <w:tab w:val="num" w:pos="1719"/>
        </w:tabs>
        <w:ind w:left="1719" w:hanging="360"/>
      </w:pPr>
      <w:rPr>
        <w:rFonts w:ascii="Arial" w:hAnsi="Arial" w:hint="default"/>
      </w:rPr>
    </w:lvl>
    <w:lvl w:ilvl="2" w:tplc="2AD44A04" w:tentative="1">
      <w:start w:val="1"/>
      <w:numFmt w:val="bullet"/>
      <w:lvlText w:val="•"/>
      <w:lvlJc w:val="left"/>
      <w:pPr>
        <w:tabs>
          <w:tab w:val="num" w:pos="2439"/>
        </w:tabs>
        <w:ind w:left="2439" w:hanging="360"/>
      </w:pPr>
      <w:rPr>
        <w:rFonts w:ascii="Arial" w:hAnsi="Arial" w:hint="default"/>
      </w:rPr>
    </w:lvl>
    <w:lvl w:ilvl="3" w:tplc="07082974" w:tentative="1">
      <w:start w:val="1"/>
      <w:numFmt w:val="bullet"/>
      <w:lvlText w:val="•"/>
      <w:lvlJc w:val="left"/>
      <w:pPr>
        <w:tabs>
          <w:tab w:val="num" w:pos="3159"/>
        </w:tabs>
        <w:ind w:left="3159" w:hanging="360"/>
      </w:pPr>
      <w:rPr>
        <w:rFonts w:ascii="Arial" w:hAnsi="Arial" w:hint="default"/>
      </w:rPr>
    </w:lvl>
    <w:lvl w:ilvl="4" w:tplc="CD76DC7C" w:tentative="1">
      <w:start w:val="1"/>
      <w:numFmt w:val="bullet"/>
      <w:lvlText w:val="•"/>
      <w:lvlJc w:val="left"/>
      <w:pPr>
        <w:tabs>
          <w:tab w:val="num" w:pos="3879"/>
        </w:tabs>
        <w:ind w:left="3879" w:hanging="360"/>
      </w:pPr>
      <w:rPr>
        <w:rFonts w:ascii="Arial" w:hAnsi="Arial" w:hint="default"/>
      </w:rPr>
    </w:lvl>
    <w:lvl w:ilvl="5" w:tplc="3D28A6E6" w:tentative="1">
      <w:start w:val="1"/>
      <w:numFmt w:val="bullet"/>
      <w:lvlText w:val="•"/>
      <w:lvlJc w:val="left"/>
      <w:pPr>
        <w:tabs>
          <w:tab w:val="num" w:pos="4599"/>
        </w:tabs>
        <w:ind w:left="4599" w:hanging="360"/>
      </w:pPr>
      <w:rPr>
        <w:rFonts w:ascii="Arial" w:hAnsi="Arial" w:hint="default"/>
      </w:rPr>
    </w:lvl>
    <w:lvl w:ilvl="6" w:tplc="590A4E18" w:tentative="1">
      <w:start w:val="1"/>
      <w:numFmt w:val="bullet"/>
      <w:lvlText w:val="•"/>
      <w:lvlJc w:val="left"/>
      <w:pPr>
        <w:tabs>
          <w:tab w:val="num" w:pos="5319"/>
        </w:tabs>
        <w:ind w:left="5319" w:hanging="360"/>
      </w:pPr>
      <w:rPr>
        <w:rFonts w:ascii="Arial" w:hAnsi="Arial" w:hint="default"/>
      </w:rPr>
    </w:lvl>
    <w:lvl w:ilvl="7" w:tplc="56BA76D8" w:tentative="1">
      <w:start w:val="1"/>
      <w:numFmt w:val="bullet"/>
      <w:lvlText w:val="•"/>
      <w:lvlJc w:val="left"/>
      <w:pPr>
        <w:tabs>
          <w:tab w:val="num" w:pos="6039"/>
        </w:tabs>
        <w:ind w:left="6039" w:hanging="360"/>
      </w:pPr>
      <w:rPr>
        <w:rFonts w:ascii="Arial" w:hAnsi="Arial" w:hint="default"/>
      </w:rPr>
    </w:lvl>
    <w:lvl w:ilvl="8" w:tplc="D56AD64E" w:tentative="1">
      <w:start w:val="1"/>
      <w:numFmt w:val="bullet"/>
      <w:lvlText w:val="•"/>
      <w:lvlJc w:val="left"/>
      <w:pPr>
        <w:tabs>
          <w:tab w:val="num" w:pos="6759"/>
        </w:tabs>
        <w:ind w:left="6759" w:hanging="360"/>
      </w:pPr>
      <w:rPr>
        <w:rFonts w:ascii="Arial" w:hAnsi="Arial" w:hint="default"/>
      </w:rPr>
    </w:lvl>
  </w:abstractNum>
  <w:abstractNum w:abstractNumId="37" w15:restartNumberingAfterBreak="0">
    <w:nsid w:val="65C86972"/>
    <w:multiLevelType w:val="hybridMultilevel"/>
    <w:tmpl w:val="EF60E5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2B19CB"/>
    <w:multiLevelType w:val="hybridMultilevel"/>
    <w:tmpl w:val="359E384C"/>
    <w:lvl w:ilvl="0" w:tplc="4804310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FA48A5"/>
    <w:multiLevelType w:val="hybridMultilevel"/>
    <w:tmpl w:val="3E2221D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547E6"/>
    <w:multiLevelType w:val="hybridMultilevel"/>
    <w:tmpl w:val="9F3404D0"/>
    <w:lvl w:ilvl="0" w:tplc="89D2AE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FA64E9"/>
    <w:multiLevelType w:val="hybridMultilevel"/>
    <w:tmpl w:val="70E22AB2"/>
    <w:lvl w:ilvl="0" w:tplc="645EF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74639D"/>
    <w:multiLevelType w:val="hybridMultilevel"/>
    <w:tmpl w:val="F692C1A2"/>
    <w:lvl w:ilvl="0" w:tplc="240A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2044BA6"/>
    <w:multiLevelType w:val="hybridMultilevel"/>
    <w:tmpl w:val="07EEA1E4"/>
    <w:lvl w:ilvl="0" w:tplc="FEE66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813B2"/>
    <w:multiLevelType w:val="hybridMultilevel"/>
    <w:tmpl w:val="C8E461B0"/>
    <w:lvl w:ilvl="0" w:tplc="A26EE7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9"/>
  </w:num>
  <w:num w:numId="4">
    <w:abstractNumId w:val="8"/>
  </w:num>
  <w:num w:numId="5">
    <w:abstractNumId w:val="17"/>
  </w:num>
  <w:num w:numId="6">
    <w:abstractNumId w:val="33"/>
  </w:num>
  <w:num w:numId="7">
    <w:abstractNumId w:val="10"/>
  </w:num>
  <w:num w:numId="8">
    <w:abstractNumId w:val="18"/>
  </w:num>
  <w:num w:numId="9">
    <w:abstractNumId w:val="6"/>
  </w:num>
  <w:num w:numId="10">
    <w:abstractNumId w:val="23"/>
  </w:num>
  <w:num w:numId="11">
    <w:abstractNumId w:val="14"/>
  </w:num>
  <w:num w:numId="12">
    <w:abstractNumId w:val="34"/>
  </w:num>
  <w:num w:numId="13">
    <w:abstractNumId w:val="40"/>
  </w:num>
  <w:num w:numId="14">
    <w:abstractNumId w:val="41"/>
  </w:num>
  <w:num w:numId="15">
    <w:abstractNumId w:val="1"/>
  </w:num>
  <w:num w:numId="16">
    <w:abstractNumId w:val="24"/>
  </w:num>
  <w:num w:numId="17">
    <w:abstractNumId w:val="4"/>
  </w:num>
  <w:num w:numId="18">
    <w:abstractNumId w:val="26"/>
  </w:num>
  <w:num w:numId="19">
    <w:abstractNumId w:val="29"/>
  </w:num>
  <w:num w:numId="20">
    <w:abstractNumId w:val="0"/>
  </w:num>
  <w:num w:numId="21">
    <w:abstractNumId w:val="11"/>
  </w:num>
  <w:num w:numId="22">
    <w:abstractNumId w:val="21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2"/>
  </w:num>
  <w:num w:numId="26">
    <w:abstractNumId w:val="31"/>
  </w:num>
  <w:num w:numId="27">
    <w:abstractNumId w:val="28"/>
  </w:num>
  <w:num w:numId="28">
    <w:abstractNumId w:val="42"/>
  </w:num>
  <w:num w:numId="29">
    <w:abstractNumId w:val="1"/>
  </w:num>
  <w:num w:numId="30">
    <w:abstractNumId w:val="44"/>
  </w:num>
  <w:num w:numId="31">
    <w:abstractNumId w:val="25"/>
  </w:num>
  <w:num w:numId="32">
    <w:abstractNumId w:val="37"/>
  </w:num>
  <w:num w:numId="33">
    <w:abstractNumId w:val="27"/>
  </w:num>
  <w:num w:numId="34">
    <w:abstractNumId w:val="36"/>
  </w:num>
  <w:num w:numId="35">
    <w:abstractNumId w:val="15"/>
  </w:num>
  <w:num w:numId="36">
    <w:abstractNumId w:val="5"/>
  </w:num>
  <w:num w:numId="37">
    <w:abstractNumId w:val="2"/>
  </w:num>
  <w:num w:numId="38">
    <w:abstractNumId w:val="30"/>
  </w:num>
  <w:num w:numId="39">
    <w:abstractNumId w:val="35"/>
  </w:num>
  <w:num w:numId="40">
    <w:abstractNumId w:val="16"/>
  </w:num>
  <w:num w:numId="41">
    <w:abstractNumId w:val="43"/>
  </w:num>
  <w:num w:numId="42">
    <w:abstractNumId w:val="19"/>
  </w:num>
  <w:num w:numId="43">
    <w:abstractNumId w:val="3"/>
  </w:num>
  <w:num w:numId="44">
    <w:abstractNumId w:val="13"/>
  </w:num>
  <w:num w:numId="45">
    <w:abstractNumId w:val="22"/>
  </w:num>
  <w:num w:numId="46">
    <w:abstractNumId w:val="9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80"/>
    <w:rsid w:val="00003D24"/>
    <w:rsid w:val="00006F83"/>
    <w:rsid w:val="00007F07"/>
    <w:rsid w:val="00013C42"/>
    <w:rsid w:val="00014D67"/>
    <w:rsid w:val="00016A94"/>
    <w:rsid w:val="00021FCC"/>
    <w:rsid w:val="00024F34"/>
    <w:rsid w:val="00024F70"/>
    <w:rsid w:val="0002546A"/>
    <w:rsid w:val="00032CBF"/>
    <w:rsid w:val="000360D3"/>
    <w:rsid w:val="000364D8"/>
    <w:rsid w:val="0004205E"/>
    <w:rsid w:val="00047A6E"/>
    <w:rsid w:val="00050524"/>
    <w:rsid w:val="000611FF"/>
    <w:rsid w:val="00066463"/>
    <w:rsid w:val="0007636F"/>
    <w:rsid w:val="00081CEE"/>
    <w:rsid w:val="00084B49"/>
    <w:rsid w:val="00086B16"/>
    <w:rsid w:val="00090C69"/>
    <w:rsid w:val="00092C0A"/>
    <w:rsid w:val="00094D9F"/>
    <w:rsid w:val="000A35DA"/>
    <w:rsid w:val="000A3E34"/>
    <w:rsid w:val="000B30A6"/>
    <w:rsid w:val="000B39C5"/>
    <w:rsid w:val="000B50F1"/>
    <w:rsid w:val="000B6B7A"/>
    <w:rsid w:val="000C41BE"/>
    <w:rsid w:val="000C614C"/>
    <w:rsid w:val="000C6C52"/>
    <w:rsid w:val="000D1904"/>
    <w:rsid w:val="000D2DA8"/>
    <w:rsid w:val="000D512E"/>
    <w:rsid w:val="000E0152"/>
    <w:rsid w:val="000E370D"/>
    <w:rsid w:val="000E65A4"/>
    <w:rsid w:val="00105533"/>
    <w:rsid w:val="001072FB"/>
    <w:rsid w:val="00116659"/>
    <w:rsid w:val="001175AA"/>
    <w:rsid w:val="00124729"/>
    <w:rsid w:val="00125A3A"/>
    <w:rsid w:val="00126916"/>
    <w:rsid w:val="00126980"/>
    <w:rsid w:val="001303DD"/>
    <w:rsid w:val="001348DA"/>
    <w:rsid w:val="001365B5"/>
    <w:rsid w:val="00136CD0"/>
    <w:rsid w:val="0013737F"/>
    <w:rsid w:val="00142BF2"/>
    <w:rsid w:val="001447C1"/>
    <w:rsid w:val="00145BCA"/>
    <w:rsid w:val="0015216F"/>
    <w:rsid w:val="00153523"/>
    <w:rsid w:val="00157729"/>
    <w:rsid w:val="00164587"/>
    <w:rsid w:val="001665A3"/>
    <w:rsid w:val="001743EF"/>
    <w:rsid w:val="00174A31"/>
    <w:rsid w:val="00177232"/>
    <w:rsid w:val="00187186"/>
    <w:rsid w:val="00196D37"/>
    <w:rsid w:val="001978EB"/>
    <w:rsid w:val="001A2AF1"/>
    <w:rsid w:val="001B791B"/>
    <w:rsid w:val="001C013E"/>
    <w:rsid w:val="001D1743"/>
    <w:rsid w:val="001D17CF"/>
    <w:rsid w:val="001D5AFE"/>
    <w:rsid w:val="001E2543"/>
    <w:rsid w:val="001E6C60"/>
    <w:rsid w:val="001E7C66"/>
    <w:rsid w:val="001F238A"/>
    <w:rsid w:val="002171A2"/>
    <w:rsid w:val="002217D1"/>
    <w:rsid w:val="002264B8"/>
    <w:rsid w:val="00230A78"/>
    <w:rsid w:val="00233151"/>
    <w:rsid w:val="00235361"/>
    <w:rsid w:val="00236F62"/>
    <w:rsid w:val="00237D76"/>
    <w:rsid w:val="00251FCE"/>
    <w:rsid w:val="00252F13"/>
    <w:rsid w:val="00254313"/>
    <w:rsid w:val="0026513E"/>
    <w:rsid w:val="002729A5"/>
    <w:rsid w:val="002862C1"/>
    <w:rsid w:val="00286449"/>
    <w:rsid w:val="0028644F"/>
    <w:rsid w:val="00287EC3"/>
    <w:rsid w:val="00293F29"/>
    <w:rsid w:val="002941D1"/>
    <w:rsid w:val="002A2A12"/>
    <w:rsid w:val="002C05D0"/>
    <w:rsid w:val="002C0F69"/>
    <w:rsid w:val="002C6429"/>
    <w:rsid w:val="002D096D"/>
    <w:rsid w:val="002D11FE"/>
    <w:rsid w:val="002D2CB2"/>
    <w:rsid w:val="002D35EC"/>
    <w:rsid w:val="002D3FE3"/>
    <w:rsid w:val="002D5E8B"/>
    <w:rsid w:val="002E4A97"/>
    <w:rsid w:val="002E71C4"/>
    <w:rsid w:val="002F226A"/>
    <w:rsid w:val="00301DC2"/>
    <w:rsid w:val="003227FD"/>
    <w:rsid w:val="00325A55"/>
    <w:rsid w:val="003343DB"/>
    <w:rsid w:val="00336655"/>
    <w:rsid w:val="00342B3C"/>
    <w:rsid w:val="00343006"/>
    <w:rsid w:val="00346554"/>
    <w:rsid w:val="003503EB"/>
    <w:rsid w:val="00350767"/>
    <w:rsid w:val="00350E4B"/>
    <w:rsid w:val="003533A1"/>
    <w:rsid w:val="003651DE"/>
    <w:rsid w:val="00367CB8"/>
    <w:rsid w:val="003711C0"/>
    <w:rsid w:val="00373197"/>
    <w:rsid w:val="0038390A"/>
    <w:rsid w:val="003A0BBF"/>
    <w:rsid w:val="003A3C08"/>
    <w:rsid w:val="003A6449"/>
    <w:rsid w:val="003A73D2"/>
    <w:rsid w:val="003B0B23"/>
    <w:rsid w:val="003B3F46"/>
    <w:rsid w:val="003B4DDE"/>
    <w:rsid w:val="003B625C"/>
    <w:rsid w:val="003C0C28"/>
    <w:rsid w:val="003C0F32"/>
    <w:rsid w:val="003C6CAC"/>
    <w:rsid w:val="003D3516"/>
    <w:rsid w:val="003D6D75"/>
    <w:rsid w:val="003E1394"/>
    <w:rsid w:val="003E582F"/>
    <w:rsid w:val="00401B59"/>
    <w:rsid w:val="00403602"/>
    <w:rsid w:val="00405CE5"/>
    <w:rsid w:val="0041604F"/>
    <w:rsid w:val="00427DD9"/>
    <w:rsid w:val="004317DB"/>
    <w:rsid w:val="00432C5C"/>
    <w:rsid w:val="00437284"/>
    <w:rsid w:val="00437C19"/>
    <w:rsid w:val="004424B1"/>
    <w:rsid w:val="00461D1F"/>
    <w:rsid w:val="00470148"/>
    <w:rsid w:val="00470526"/>
    <w:rsid w:val="004848A4"/>
    <w:rsid w:val="00485ED3"/>
    <w:rsid w:val="00495524"/>
    <w:rsid w:val="00497187"/>
    <w:rsid w:val="004A0755"/>
    <w:rsid w:val="004A43D2"/>
    <w:rsid w:val="004A6BE3"/>
    <w:rsid w:val="004B078F"/>
    <w:rsid w:val="004B2DCB"/>
    <w:rsid w:val="004C0A5E"/>
    <w:rsid w:val="004C4371"/>
    <w:rsid w:val="004C7D38"/>
    <w:rsid w:val="004D0D86"/>
    <w:rsid w:val="004D10C6"/>
    <w:rsid w:val="004D2643"/>
    <w:rsid w:val="004D294E"/>
    <w:rsid w:val="004D3D03"/>
    <w:rsid w:val="004D4586"/>
    <w:rsid w:val="004D6329"/>
    <w:rsid w:val="004E034B"/>
    <w:rsid w:val="004E17FC"/>
    <w:rsid w:val="004E21B2"/>
    <w:rsid w:val="004E274E"/>
    <w:rsid w:val="004E517F"/>
    <w:rsid w:val="004F2770"/>
    <w:rsid w:val="004F778E"/>
    <w:rsid w:val="004F7A38"/>
    <w:rsid w:val="005006B6"/>
    <w:rsid w:val="0050148F"/>
    <w:rsid w:val="00502F91"/>
    <w:rsid w:val="00520AAA"/>
    <w:rsid w:val="00520B2A"/>
    <w:rsid w:val="0052463B"/>
    <w:rsid w:val="005338E4"/>
    <w:rsid w:val="00541198"/>
    <w:rsid w:val="0054286C"/>
    <w:rsid w:val="00543E5A"/>
    <w:rsid w:val="0054412D"/>
    <w:rsid w:val="00545A32"/>
    <w:rsid w:val="0054645F"/>
    <w:rsid w:val="005616ED"/>
    <w:rsid w:val="005629D0"/>
    <w:rsid w:val="00564A4E"/>
    <w:rsid w:val="005815B6"/>
    <w:rsid w:val="00584E85"/>
    <w:rsid w:val="005871DA"/>
    <w:rsid w:val="00587695"/>
    <w:rsid w:val="0059054D"/>
    <w:rsid w:val="0059316B"/>
    <w:rsid w:val="005949A8"/>
    <w:rsid w:val="005A077D"/>
    <w:rsid w:val="005A4320"/>
    <w:rsid w:val="005A498D"/>
    <w:rsid w:val="005C19CA"/>
    <w:rsid w:val="005C3935"/>
    <w:rsid w:val="005C4522"/>
    <w:rsid w:val="005D49BF"/>
    <w:rsid w:val="005F30C3"/>
    <w:rsid w:val="005F7863"/>
    <w:rsid w:val="0060353B"/>
    <w:rsid w:val="00604115"/>
    <w:rsid w:val="0060613A"/>
    <w:rsid w:val="00612F88"/>
    <w:rsid w:val="00620876"/>
    <w:rsid w:val="00624FD0"/>
    <w:rsid w:val="00630C5E"/>
    <w:rsid w:val="006315B4"/>
    <w:rsid w:val="00635411"/>
    <w:rsid w:val="00635AC3"/>
    <w:rsid w:val="00636FFB"/>
    <w:rsid w:val="00652E55"/>
    <w:rsid w:val="00654CCF"/>
    <w:rsid w:val="00665F82"/>
    <w:rsid w:val="0067186C"/>
    <w:rsid w:val="00671E11"/>
    <w:rsid w:val="006779DA"/>
    <w:rsid w:val="00687EB3"/>
    <w:rsid w:val="00692980"/>
    <w:rsid w:val="00693246"/>
    <w:rsid w:val="0069506F"/>
    <w:rsid w:val="00696582"/>
    <w:rsid w:val="006A1DBB"/>
    <w:rsid w:val="006B4E40"/>
    <w:rsid w:val="006C103A"/>
    <w:rsid w:val="006C4E6A"/>
    <w:rsid w:val="006C50E8"/>
    <w:rsid w:val="006D1C7E"/>
    <w:rsid w:val="006D464D"/>
    <w:rsid w:val="006E6F11"/>
    <w:rsid w:val="006F0B6B"/>
    <w:rsid w:val="006F144D"/>
    <w:rsid w:val="006F461B"/>
    <w:rsid w:val="006F4E4A"/>
    <w:rsid w:val="006F622C"/>
    <w:rsid w:val="00700FF6"/>
    <w:rsid w:val="00704D44"/>
    <w:rsid w:val="00711206"/>
    <w:rsid w:val="00715A68"/>
    <w:rsid w:val="00715DD5"/>
    <w:rsid w:val="00715ECF"/>
    <w:rsid w:val="00717A04"/>
    <w:rsid w:val="00717BFE"/>
    <w:rsid w:val="007208C5"/>
    <w:rsid w:val="007236DA"/>
    <w:rsid w:val="00725BB4"/>
    <w:rsid w:val="0073180A"/>
    <w:rsid w:val="00731F03"/>
    <w:rsid w:val="00732997"/>
    <w:rsid w:val="007336C3"/>
    <w:rsid w:val="00735033"/>
    <w:rsid w:val="00756485"/>
    <w:rsid w:val="0075705D"/>
    <w:rsid w:val="007626E1"/>
    <w:rsid w:val="0076339E"/>
    <w:rsid w:val="00767F65"/>
    <w:rsid w:val="00770D6C"/>
    <w:rsid w:val="00783515"/>
    <w:rsid w:val="00787C94"/>
    <w:rsid w:val="00791BCB"/>
    <w:rsid w:val="007921BD"/>
    <w:rsid w:val="00793A02"/>
    <w:rsid w:val="00795C6B"/>
    <w:rsid w:val="007A1566"/>
    <w:rsid w:val="007A3995"/>
    <w:rsid w:val="007A5AC5"/>
    <w:rsid w:val="007B622D"/>
    <w:rsid w:val="007C4288"/>
    <w:rsid w:val="007C484E"/>
    <w:rsid w:val="007D4853"/>
    <w:rsid w:val="007D57C4"/>
    <w:rsid w:val="007D6272"/>
    <w:rsid w:val="007E0429"/>
    <w:rsid w:val="007E41DE"/>
    <w:rsid w:val="007E4CE3"/>
    <w:rsid w:val="007E64EF"/>
    <w:rsid w:val="007F2B1F"/>
    <w:rsid w:val="00802F7A"/>
    <w:rsid w:val="00806A1C"/>
    <w:rsid w:val="0080773A"/>
    <w:rsid w:val="00811DDE"/>
    <w:rsid w:val="008173F3"/>
    <w:rsid w:val="0082117C"/>
    <w:rsid w:val="008227E9"/>
    <w:rsid w:val="00822D20"/>
    <w:rsid w:val="008252C5"/>
    <w:rsid w:val="00831860"/>
    <w:rsid w:val="00832F2D"/>
    <w:rsid w:val="00836C6A"/>
    <w:rsid w:val="00841C9F"/>
    <w:rsid w:val="0084294E"/>
    <w:rsid w:val="00843EFF"/>
    <w:rsid w:val="008442A5"/>
    <w:rsid w:val="0084682C"/>
    <w:rsid w:val="008477A9"/>
    <w:rsid w:val="00850777"/>
    <w:rsid w:val="008539AD"/>
    <w:rsid w:val="0085416A"/>
    <w:rsid w:val="00856B0F"/>
    <w:rsid w:val="00857771"/>
    <w:rsid w:val="00862D49"/>
    <w:rsid w:val="0087186A"/>
    <w:rsid w:val="00871ADF"/>
    <w:rsid w:val="00872C56"/>
    <w:rsid w:val="00874F67"/>
    <w:rsid w:val="00876AC2"/>
    <w:rsid w:val="00883F43"/>
    <w:rsid w:val="00884C98"/>
    <w:rsid w:val="00884CE2"/>
    <w:rsid w:val="00885E7D"/>
    <w:rsid w:val="0089363F"/>
    <w:rsid w:val="00894D05"/>
    <w:rsid w:val="00896ED8"/>
    <w:rsid w:val="008A209D"/>
    <w:rsid w:val="008A2436"/>
    <w:rsid w:val="008A4E8C"/>
    <w:rsid w:val="008A563D"/>
    <w:rsid w:val="008B3B0A"/>
    <w:rsid w:val="008C2BA0"/>
    <w:rsid w:val="008C69F2"/>
    <w:rsid w:val="008D1D44"/>
    <w:rsid w:val="008D3E6C"/>
    <w:rsid w:val="008E04EC"/>
    <w:rsid w:val="008E43F4"/>
    <w:rsid w:val="008F42F6"/>
    <w:rsid w:val="008F5282"/>
    <w:rsid w:val="00904A47"/>
    <w:rsid w:val="00912BAC"/>
    <w:rsid w:val="009166E6"/>
    <w:rsid w:val="00925058"/>
    <w:rsid w:val="00926CDB"/>
    <w:rsid w:val="00930113"/>
    <w:rsid w:val="00933756"/>
    <w:rsid w:val="009356EC"/>
    <w:rsid w:val="00937FB2"/>
    <w:rsid w:val="0094114F"/>
    <w:rsid w:val="00941E80"/>
    <w:rsid w:val="0095690D"/>
    <w:rsid w:val="009609C5"/>
    <w:rsid w:val="0096283E"/>
    <w:rsid w:val="00965B1A"/>
    <w:rsid w:val="00971B57"/>
    <w:rsid w:val="00972FCB"/>
    <w:rsid w:val="00976933"/>
    <w:rsid w:val="00981893"/>
    <w:rsid w:val="00984974"/>
    <w:rsid w:val="00986438"/>
    <w:rsid w:val="00987DBF"/>
    <w:rsid w:val="009970F9"/>
    <w:rsid w:val="009A5590"/>
    <w:rsid w:val="009A6ED9"/>
    <w:rsid w:val="009B4B53"/>
    <w:rsid w:val="009C3837"/>
    <w:rsid w:val="009C44BD"/>
    <w:rsid w:val="009C537F"/>
    <w:rsid w:val="009D0585"/>
    <w:rsid w:val="009D2BB3"/>
    <w:rsid w:val="009E0846"/>
    <w:rsid w:val="009E1EF4"/>
    <w:rsid w:val="009E1F32"/>
    <w:rsid w:val="009E4BD5"/>
    <w:rsid w:val="009F1BE0"/>
    <w:rsid w:val="009F7CED"/>
    <w:rsid w:val="00A04569"/>
    <w:rsid w:val="00A0736A"/>
    <w:rsid w:val="00A07DE7"/>
    <w:rsid w:val="00A120D6"/>
    <w:rsid w:val="00A1301A"/>
    <w:rsid w:val="00A14C37"/>
    <w:rsid w:val="00A161B9"/>
    <w:rsid w:val="00A17FD4"/>
    <w:rsid w:val="00A219D7"/>
    <w:rsid w:val="00A2785C"/>
    <w:rsid w:val="00A33DCF"/>
    <w:rsid w:val="00A377FE"/>
    <w:rsid w:val="00A4128C"/>
    <w:rsid w:val="00A41AEF"/>
    <w:rsid w:val="00A447B3"/>
    <w:rsid w:val="00A47B44"/>
    <w:rsid w:val="00A500DD"/>
    <w:rsid w:val="00A52C3F"/>
    <w:rsid w:val="00A5516D"/>
    <w:rsid w:val="00A55DB6"/>
    <w:rsid w:val="00A61784"/>
    <w:rsid w:val="00A64120"/>
    <w:rsid w:val="00A67813"/>
    <w:rsid w:val="00A72973"/>
    <w:rsid w:val="00A74AFD"/>
    <w:rsid w:val="00A80613"/>
    <w:rsid w:val="00A83A98"/>
    <w:rsid w:val="00A85AEA"/>
    <w:rsid w:val="00A94019"/>
    <w:rsid w:val="00A9618E"/>
    <w:rsid w:val="00AA28E8"/>
    <w:rsid w:val="00AB0708"/>
    <w:rsid w:val="00AB0C45"/>
    <w:rsid w:val="00AB6652"/>
    <w:rsid w:val="00AC1AF8"/>
    <w:rsid w:val="00AC447D"/>
    <w:rsid w:val="00AD5446"/>
    <w:rsid w:val="00AD623F"/>
    <w:rsid w:val="00AD7228"/>
    <w:rsid w:val="00AE03F3"/>
    <w:rsid w:val="00AF5A32"/>
    <w:rsid w:val="00AF5E71"/>
    <w:rsid w:val="00B13AE3"/>
    <w:rsid w:val="00B25550"/>
    <w:rsid w:val="00B25D83"/>
    <w:rsid w:val="00B30DCD"/>
    <w:rsid w:val="00B377D3"/>
    <w:rsid w:val="00B4178F"/>
    <w:rsid w:val="00B4216E"/>
    <w:rsid w:val="00B448DC"/>
    <w:rsid w:val="00B463AC"/>
    <w:rsid w:val="00B51095"/>
    <w:rsid w:val="00B550B0"/>
    <w:rsid w:val="00B6123C"/>
    <w:rsid w:val="00B61CA6"/>
    <w:rsid w:val="00B65F1B"/>
    <w:rsid w:val="00B66D03"/>
    <w:rsid w:val="00B7000F"/>
    <w:rsid w:val="00B729FC"/>
    <w:rsid w:val="00B73EC6"/>
    <w:rsid w:val="00B766E4"/>
    <w:rsid w:val="00B8326D"/>
    <w:rsid w:val="00B84AF8"/>
    <w:rsid w:val="00B85D71"/>
    <w:rsid w:val="00B900F0"/>
    <w:rsid w:val="00B937B6"/>
    <w:rsid w:val="00BA450F"/>
    <w:rsid w:val="00BB545F"/>
    <w:rsid w:val="00BD4B65"/>
    <w:rsid w:val="00BE280C"/>
    <w:rsid w:val="00BF054E"/>
    <w:rsid w:val="00BF0DB9"/>
    <w:rsid w:val="00C04E1A"/>
    <w:rsid w:val="00C12B93"/>
    <w:rsid w:val="00C134C3"/>
    <w:rsid w:val="00C13B0D"/>
    <w:rsid w:val="00C17365"/>
    <w:rsid w:val="00C26C14"/>
    <w:rsid w:val="00C27D76"/>
    <w:rsid w:val="00C31D59"/>
    <w:rsid w:val="00C36892"/>
    <w:rsid w:val="00C4009A"/>
    <w:rsid w:val="00C401C2"/>
    <w:rsid w:val="00C46330"/>
    <w:rsid w:val="00C47F73"/>
    <w:rsid w:val="00C52E86"/>
    <w:rsid w:val="00C6077B"/>
    <w:rsid w:val="00C61441"/>
    <w:rsid w:val="00C64D48"/>
    <w:rsid w:val="00C7294E"/>
    <w:rsid w:val="00C83148"/>
    <w:rsid w:val="00C90A4E"/>
    <w:rsid w:val="00C91F90"/>
    <w:rsid w:val="00CA1C94"/>
    <w:rsid w:val="00CA57DF"/>
    <w:rsid w:val="00CB0063"/>
    <w:rsid w:val="00CB0586"/>
    <w:rsid w:val="00CB4D37"/>
    <w:rsid w:val="00CB66F7"/>
    <w:rsid w:val="00CC0C62"/>
    <w:rsid w:val="00CC259C"/>
    <w:rsid w:val="00CC42D1"/>
    <w:rsid w:val="00CC5B3E"/>
    <w:rsid w:val="00CE1A87"/>
    <w:rsid w:val="00CF25EF"/>
    <w:rsid w:val="00D04A96"/>
    <w:rsid w:val="00D05B67"/>
    <w:rsid w:val="00D05D52"/>
    <w:rsid w:val="00D24980"/>
    <w:rsid w:val="00D26D53"/>
    <w:rsid w:val="00D31F43"/>
    <w:rsid w:val="00D40E59"/>
    <w:rsid w:val="00D415E6"/>
    <w:rsid w:val="00D444C5"/>
    <w:rsid w:val="00D50C13"/>
    <w:rsid w:val="00D530DC"/>
    <w:rsid w:val="00D62023"/>
    <w:rsid w:val="00D7070F"/>
    <w:rsid w:val="00D709DD"/>
    <w:rsid w:val="00D8294A"/>
    <w:rsid w:val="00D83C99"/>
    <w:rsid w:val="00D83F98"/>
    <w:rsid w:val="00D84A75"/>
    <w:rsid w:val="00D85F1E"/>
    <w:rsid w:val="00D85F90"/>
    <w:rsid w:val="00D90649"/>
    <w:rsid w:val="00D91E89"/>
    <w:rsid w:val="00D9213D"/>
    <w:rsid w:val="00D965B1"/>
    <w:rsid w:val="00D97DF9"/>
    <w:rsid w:val="00DA6526"/>
    <w:rsid w:val="00DA6C54"/>
    <w:rsid w:val="00DC54A3"/>
    <w:rsid w:val="00DD181C"/>
    <w:rsid w:val="00DD2F2C"/>
    <w:rsid w:val="00DD48D9"/>
    <w:rsid w:val="00DE1540"/>
    <w:rsid w:val="00DE520C"/>
    <w:rsid w:val="00DF1E66"/>
    <w:rsid w:val="00DF60FD"/>
    <w:rsid w:val="00DF6410"/>
    <w:rsid w:val="00E007F7"/>
    <w:rsid w:val="00E01109"/>
    <w:rsid w:val="00E01E9E"/>
    <w:rsid w:val="00E0428D"/>
    <w:rsid w:val="00E05F18"/>
    <w:rsid w:val="00E06A27"/>
    <w:rsid w:val="00E12202"/>
    <w:rsid w:val="00E242C5"/>
    <w:rsid w:val="00E24673"/>
    <w:rsid w:val="00E24F26"/>
    <w:rsid w:val="00E261B4"/>
    <w:rsid w:val="00E31E85"/>
    <w:rsid w:val="00E3309F"/>
    <w:rsid w:val="00E407FF"/>
    <w:rsid w:val="00E40C34"/>
    <w:rsid w:val="00E41E2C"/>
    <w:rsid w:val="00E44207"/>
    <w:rsid w:val="00E53106"/>
    <w:rsid w:val="00E65253"/>
    <w:rsid w:val="00E66C57"/>
    <w:rsid w:val="00E66D00"/>
    <w:rsid w:val="00E7224C"/>
    <w:rsid w:val="00E729F2"/>
    <w:rsid w:val="00E75DBD"/>
    <w:rsid w:val="00E805D3"/>
    <w:rsid w:val="00E80826"/>
    <w:rsid w:val="00E84DA1"/>
    <w:rsid w:val="00E91332"/>
    <w:rsid w:val="00EA3045"/>
    <w:rsid w:val="00EC1DE8"/>
    <w:rsid w:val="00EC35AE"/>
    <w:rsid w:val="00ED4708"/>
    <w:rsid w:val="00ED7CBA"/>
    <w:rsid w:val="00EE0D69"/>
    <w:rsid w:val="00EE0F26"/>
    <w:rsid w:val="00EE2ABB"/>
    <w:rsid w:val="00EF192B"/>
    <w:rsid w:val="00F06B8A"/>
    <w:rsid w:val="00F07A7D"/>
    <w:rsid w:val="00F153C1"/>
    <w:rsid w:val="00F16839"/>
    <w:rsid w:val="00F211E7"/>
    <w:rsid w:val="00F21D37"/>
    <w:rsid w:val="00F221F0"/>
    <w:rsid w:val="00F23BBA"/>
    <w:rsid w:val="00F26136"/>
    <w:rsid w:val="00F2713B"/>
    <w:rsid w:val="00F305D8"/>
    <w:rsid w:val="00F37106"/>
    <w:rsid w:val="00F44A2E"/>
    <w:rsid w:val="00F47D57"/>
    <w:rsid w:val="00F53EA9"/>
    <w:rsid w:val="00F55DC4"/>
    <w:rsid w:val="00F576B3"/>
    <w:rsid w:val="00F745E1"/>
    <w:rsid w:val="00F75A79"/>
    <w:rsid w:val="00F7620E"/>
    <w:rsid w:val="00F775AD"/>
    <w:rsid w:val="00F80E07"/>
    <w:rsid w:val="00F90326"/>
    <w:rsid w:val="00F90F86"/>
    <w:rsid w:val="00F92DF0"/>
    <w:rsid w:val="00FA0454"/>
    <w:rsid w:val="00FA4A9E"/>
    <w:rsid w:val="00FB1248"/>
    <w:rsid w:val="00FB217D"/>
    <w:rsid w:val="00FB29CC"/>
    <w:rsid w:val="00FB6636"/>
    <w:rsid w:val="00FC0522"/>
    <w:rsid w:val="00FC2DE3"/>
    <w:rsid w:val="00FD3D04"/>
    <w:rsid w:val="00FD49A0"/>
    <w:rsid w:val="00FD5428"/>
    <w:rsid w:val="00FD718C"/>
    <w:rsid w:val="00FE27DE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3896B78"/>
  <w15:chartTrackingRefBased/>
  <w15:docId w15:val="{6C4F249E-E66B-43D5-9EFA-7180C20B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1FF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color w:val="000080"/>
      <w:spacing w:val="-8"/>
      <w:kern w:val="28"/>
      <w:sz w:val="28"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sz w:val="18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6525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ind w:right="902"/>
      <w:textAlignment w:val="baseline"/>
    </w:pPr>
    <w:rPr>
      <w:rFonts w:ascii="Verdana" w:hAnsi="Verdana"/>
      <w:sz w:val="18"/>
      <w:lang w:val="es-CO"/>
    </w:rPr>
  </w:style>
  <w:style w:type="paragraph" w:styleId="Sangra3detindependiente">
    <w:name w:val="Body Text Indent 3"/>
    <w:basedOn w:val="Normal"/>
    <w:pPr>
      <w:overflowPunct w:val="0"/>
      <w:autoSpaceDE w:val="0"/>
      <w:autoSpaceDN w:val="0"/>
      <w:adjustRightInd w:val="0"/>
      <w:ind w:left="709" w:hanging="349"/>
      <w:jc w:val="both"/>
      <w:textAlignment w:val="baseline"/>
    </w:pPr>
    <w:rPr>
      <w:rFonts w:ascii="Tahoma" w:hAnsi="Tahoma" w:cs="Tahoma"/>
      <w:bCs/>
      <w:sz w:val="22"/>
      <w:lang w:val="es-CO"/>
    </w:rPr>
  </w:style>
  <w:style w:type="paragraph" w:styleId="Textoindependiente">
    <w:name w:val="Body Text"/>
    <w:basedOn w:val="Normal"/>
    <w:pPr>
      <w:jc w:val="both"/>
    </w:pPr>
    <w:rPr>
      <w:rFonts w:ascii="Tahoma" w:hAnsi="Tahoma" w:cs="Tahoma"/>
      <w:iCs/>
      <w:sz w:val="18"/>
    </w:rPr>
  </w:style>
  <w:style w:type="paragraph" w:customStyle="1" w:styleId="Textoindependiente31">
    <w:name w:val="Texto independiente 3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 w:val="24"/>
      <w:lang w:val="es-CO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sz w:val="28"/>
    </w:rPr>
  </w:style>
  <w:style w:type="paragraph" w:styleId="Textoindependiente2">
    <w:name w:val="Body Text 2"/>
    <w:basedOn w:val="Normal"/>
    <w:rsid w:val="003227FD"/>
    <w:pPr>
      <w:spacing w:after="120" w:line="480" w:lineRule="auto"/>
    </w:pPr>
  </w:style>
  <w:style w:type="paragraph" w:styleId="Encabezado">
    <w:name w:val="header"/>
    <w:basedOn w:val="Normal"/>
    <w:rsid w:val="00A2785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278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0773A"/>
  </w:style>
  <w:style w:type="paragraph" w:styleId="NormalWeb">
    <w:name w:val="Normal (Web)"/>
    <w:basedOn w:val="Normal"/>
    <w:uiPriority w:val="99"/>
    <w:rsid w:val="00BA45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Refdecomentario">
    <w:name w:val="annotation reference"/>
    <w:semiHidden/>
    <w:rsid w:val="00885E7D"/>
    <w:rPr>
      <w:sz w:val="16"/>
      <w:szCs w:val="16"/>
    </w:rPr>
  </w:style>
  <w:style w:type="paragraph" w:styleId="Textocomentario">
    <w:name w:val="annotation text"/>
    <w:basedOn w:val="Normal"/>
    <w:semiHidden/>
    <w:rsid w:val="00885E7D"/>
  </w:style>
  <w:style w:type="paragraph" w:styleId="Asuntodelcomentario">
    <w:name w:val="annotation subject"/>
    <w:basedOn w:val="Textocomentario"/>
    <w:next w:val="Textocomentario"/>
    <w:semiHidden/>
    <w:rsid w:val="00885E7D"/>
    <w:rPr>
      <w:b/>
      <w:bCs/>
    </w:rPr>
  </w:style>
  <w:style w:type="paragraph" w:styleId="Textodeglobo">
    <w:name w:val="Balloon Text"/>
    <w:basedOn w:val="Normal"/>
    <w:semiHidden/>
    <w:rsid w:val="00885E7D"/>
    <w:rPr>
      <w:rFonts w:ascii="Tahoma" w:hAnsi="Tahoma" w:cs="Tahoma"/>
      <w:sz w:val="16"/>
      <w:szCs w:val="16"/>
    </w:rPr>
  </w:style>
  <w:style w:type="paragraph" w:customStyle="1" w:styleId="Listavistosa-nfasis11">
    <w:name w:val="Lista vistosa - Énfasis 11"/>
    <w:aliases w:val="Normal. Viñetas"/>
    <w:basedOn w:val="Normal"/>
    <w:link w:val="Listavistosa-nfasis1Car"/>
    <w:uiPriority w:val="34"/>
    <w:qFormat/>
    <w:rsid w:val="009C53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s-CO"/>
    </w:rPr>
  </w:style>
  <w:style w:type="paragraph" w:customStyle="1" w:styleId="Default">
    <w:name w:val="Default"/>
    <w:rsid w:val="00DF1E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paragraph" w:customStyle="1" w:styleId="Cuerpo">
    <w:name w:val="Cuerpo"/>
    <w:rsid w:val="00DF1E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CO" w:eastAsia="es-CO"/>
    </w:rPr>
  </w:style>
  <w:style w:type="character" w:customStyle="1" w:styleId="PiedepginaCar">
    <w:name w:val="Pie de página Car"/>
    <w:link w:val="Piedepgina"/>
    <w:uiPriority w:val="99"/>
    <w:rsid w:val="00B4178F"/>
    <w:rPr>
      <w:rFonts w:ascii="Arial" w:hAnsi="Arial"/>
      <w:lang w:val="es-ES" w:eastAsia="es-ES"/>
    </w:rPr>
  </w:style>
  <w:style w:type="paragraph" w:customStyle="1" w:styleId="xmsonormal">
    <w:name w:val="x_msonormal"/>
    <w:basedOn w:val="Normal"/>
    <w:rsid w:val="00715DD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customStyle="1" w:styleId="xmsolistparagraph">
    <w:name w:val="x_msolistparagraph"/>
    <w:basedOn w:val="Normal"/>
    <w:rsid w:val="00715DD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715DD5"/>
  </w:style>
  <w:style w:type="paragraph" w:customStyle="1" w:styleId="xcuerpo">
    <w:name w:val="x_cuerpo"/>
    <w:basedOn w:val="Normal"/>
    <w:rsid w:val="00715DD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rsid w:val="00925058"/>
    <w:rPr>
      <w:rFonts w:ascii="Times" w:eastAsia="Times" w:hAnsi="Times"/>
      <w:lang w:val="en-US"/>
    </w:rPr>
  </w:style>
  <w:style w:type="character" w:customStyle="1" w:styleId="TextonotapieCar">
    <w:name w:val="Texto nota pie Car"/>
    <w:link w:val="Textonotapie"/>
    <w:uiPriority w:val="99"/>
    <w:rsid w:val="00925058"/>
    <w:rPr>
      <w:rFonts w:ascii="Times" w:eastAsia="Times" w:hAnsi="Times"/>
      <w:lang w:val="en-US" w:eastAsia="es-ES"/>
    </w:rPr>
  </w:style>
  <w:style w:type="character" w:styleId="Refdenotaalpie">
    <w:name w:val="footnote reference"/>
    <w:uiPriority w:val="99"/>
    <w:rsid w:val="00925058"/>
    <w:rPr>
      <w:vertAlign w:val="superscript"/>
    </w:rPr>
  </w:style>
  <w:style w:type="paragraph" w:customStyle="1" w:styleId="Cuadrculamedia21">
    <w:name w:val="Cuadrícula media 21"/>
    <w:qFormat/>
    <w:rsid w:val="00236F62"/>
    <w:rPr>
      <w:rFonts w:ascii="Calibri" w:eastAsia="Calibri" w:hAnsi="Calibri"/>
      <w:sz w:val="22"/>
      <w:szCs w:val="22"/>
      <w:lang w:val="es-CO" w:eastAsia="en-US"/>
    </w:rPr>
  </w:style>
  <w:style w:type="character" w:styleId="Textoennegrita">
    <w:name w:val="Strong"/>
    <w:uiPriority w:val="22"/>
    <w:qFormat/>
    <w:rsid w:val="002D2CB2"/>
    <w:rPr>
      <w:b/>
      <w:bCs/>
    </w:rPr>
  </w:style>
  <w:style w:type="paragraph" w:styleId="Ttulo">
    <w:name w:val="Title"/>
    <w:basedOn w:val="Normal"/>
    <w:link w:val="TtuloCar"/>
    <w:qFormat/>
    <w:rsid w:val="00AE03F3"/>
    <w:pPr>
      <w:jc w:val="center"/>
    </w:pPr>
    <w:rPr>
      <w:rFonts w:cs="Arial"/>
      <w:b/>
      <w:bCs/>
      <w:sz w:val="32"/>
      <w:szCs w:val="24"/>
    </w:rPr>
  </w:style>
  <w:style w:type="character" w:customStyle="1" w:styleId="TtuloCar">
    <w:name w:val="Título Car"/>
    <w:link w:val="Ttulo"/>
    <w:rsid w:val="00AE03F3"/>
    <w:rPr>
      <w:rFonts w:ascii="Arial" w:hAnsi="Arial" w:cs="Arial"/>
      <w:b/>
      <w:bCs/>
      <w:sz w:val="32"/>
      <w:szCs w:val="24"/>
      <w:lang w:val="es-ES" w:eastAsia="es-ES"/>
    </w:rPr>
  </w:style>
  <w:style w:type="character" w:customStyle="1" w:styleId="Listavistosa-nfasis1Car">
    <w:name w:val="Lista vistosa - Énfasis 1 Car"/>
    <w:aliases w:val="Normal. Viñetas Car"/>
    <w:link w:val="Listavistosa-nfasis11"/>
    <w:uiPriority w:val="34"/>
    <w:locked/>
    <w:rsid w:val="005629D0"/>
    <w:rPr>
      <w:rFonts w:ascii="Calibri" w:hAnsi="Calibri"/>
      <w:sz w:val="22"/>
      <w:szCs w:val="22"/>
    </w:rPr>
  </w:style>
  <w:style w:type="character" w:styleId="Hipervnculo">
    <w:name w:val="Hyperlink"/>
    <w:uiPriority w:val="99"/>
    <w:unhideWhenUsed/>
    <w:rsid w:val="00F80E07"/>
    <w:rPr>
      <w:color w:val="0000FF"/>
      <w:u w:val="single"/>
    </w:rPr>
  </w:style>
  <w:style w:type="table" w:styleId="Tablaconcuadrcula">
    <w:name w:val="Table Grid"/>
    <w:basedOn w:val="Tablanormal"/>
    <w:rsid w:val="0035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871ADF"/>
  </w:style>
  <w:style w:type="character" w:customStyle="1" w:styleId="eop">
    <w:name w:val="eop"/>
    <w:basedOn w:val="Fuentedeprrafopredeter"/>
    <w:rsid w:val="0084682C"/>
  </w:style>
  <w:style w:type="paragraph" w:customStyle="1" w:styleId="paragraph">
    <w:name w:val="paragraph"/>
    <w:basedOn w:val="Normal"/>
    <w:rsid w:val="00811DD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419" w:eastAsia="es-419"/>
    </w:rPr>
  </w:style>
  <w:style w:type="paragraph" w:styleId="Prrafodelista">
    <w:name w:val="List Paragraph"/>
    <w:basedOn w:val="Normal"/>
    <w:uiPriority w:val="72"/>
    <w:qFormat/>
    <w:rsid w:val="00857771"/>
    <w:pPr>
      <w:ind w:left="720"/>
      <w:contextualSpacing/>
    </w:pPr>
  </w:style>
  <w:style w:type="paragraph" w:styleId="Revisin">
    <w:name w:val="Revision"/>
    <w:hidden/>
    <w:uiPriority w:val="71"/>
    <w:rsid w:val="00C17365"/>
    <w:rPr>
      <w:rFonts w:ascii="Arial" w:hAnsi="Arial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E6525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10345BC612724BA228726BDCE23F12" ma:contentTypeVersion="14" ma:contentTypeDescription="Crear nuevo documento." ma:contentTypeScope="" ma:versionID="3beba55a91a29dabe20b1f84f53a70cd">
  <xsd:schema xmlns:xsd="http://www.w3.org/2001/XMLSchema" xmlns:xs="http://www.w3.org/2001/XMLSchema" xmlns:p="http://schemas.microsoft.com/office/2006/metadata/properties" xmlns:ns3="d0ec89a7-108e-4acf-8019-c8cbe8f3e403" xmlns:ns4="dbecbb65-40fe-4f12-be53-881436d74bc6" targetNamespace="http://schemas.microsoft.com/office/2006/metadata/properties" ma:root="true" ma:fieldsID="fcddb0a914db8a0cae15b649e465fd92" ns3:_="" ns4:_="">
    <xsd:import namespace="d0ec89a7-108e-4acf-8019-c8cbe8f3e403"/>
    <xsd:import namespace="dbecbb65-40fe-4f12-be53-881436d74b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89a7-108e-4acf-8019-c8cbe8f3e4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cbb65-40fe-4f12-be53-881436d74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DAD82-99FA-4386-B617-066EA70918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A67CD3-C263-403C-B05D-3B1E72BEA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5CD09-B6EB-4495-8F64-EAE551D56A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0BBB0D-2161-402E-A5D8-DD21A153E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c89a7-108e-4acf-8019-c8cbe8f3e403"/>
    <ds:schemaRef ds:uri="dbecbb65-40fe-4f12-be53-881436d74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dafp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sistemas</dc:creator>
  <cp:keywords/>
  <dc:description/>
  <cp:lastModifiedBy>Rosa Lucia Ortega Muleth</cp:lastModifiedBy>
  <cp:revision>4</cp:revision>
  <cp:lastPrinted>2019-07-09T00:30:00Z</cp:lastPrinted>
  <dcterms:created xsi:type="dcterms:W3CDTF">2022-10-27T13:56:00Z</dcterms:created>
  <dcterms:modified xsi:type="dcterms:W3CDTF">2022-10-27T14:04:00Z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0x0101006C10345BC612724BA228726BDCE23F12</vt:lpwstr>
  </property>
</Properties>
</file>