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FF3437" w:rsidRPr="009B0F7D" w14:paraId="4DDF7DD5"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9B0F7D" w:rsidRDefault="00795C6B" w:rsidP="002264B8">
            <w:pPr>
              <w:pStyle w:val="Ttulo2"/>
              <w:ind w:right="72"/>
              <w:jc w:val="left"/>
              <w:rPr>
                <w:rFonts w:cs="Arial"/>
                <w:bCs/>
                <w:sz w:val="22"/>
                <w:szCs w:val="22"/>
              </w:rPr>
            </w:pPr>
            <w:r w:rsidRPr="009B0F7D">
              <w:rPr>
                <w:rFonts w:cs="Arial"/>
                <w:sz w:val="22"/>
                <w:szCs w:val="22"/>
                <w:lang w:val="es-CO"/>
              </w:rPr>
              <w:t>Entidad</w:t>
            </w:r>
            <w:r w:rsidR="00086B16" w:rsidRPr="009B0F7D">
              <w:rPr>
                <w:rFonts w:cs="Arial"/>
                <w:sz w:val="22"/>
                <w:szCs w:val="22"/>
                <w:lang w:val="es-CO"/>
              </w:rPr>
              <w:t xml:space="preserve"> </w:t>
            </w:r>
            <w:r w:rsidRPr="009B0F7D">
              <w:rPr>
                <w:rFonts w:cs="Arial"/>
                <w:sz w:val="22"/>
                <w:szCs w:val="22"/>
                <w:lang w:val="es-CO"/>
              </w:rPr>
              <w:t>originadora</w:t>
            </w:r>
            <w:r w:rsidR="00293F29" w:rsidRPr="009B0F7D">
              <w:rPr>
                <w:rFonts w:cs="Arial"/>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52E907C3" w14:textId="14291CA6" w:rsidR="0026513E" w:rsidRPr="009B0F7D" w:rsidRDefault="00674766" w:rsidP="00795C6B">
            <w:pPr>
              <w:pStyle w:val="Ttulo2"/>
              <w:ind w:left="72" w:right="72"/>
              <w:jc w:val="left"/>
              <w:rPr>
                <w:rFonts w:cs="Arial"/>
                <w:b w:val="0"/>
                <w:i/>
                <w:szCs w:val="22"/>
              </w:rPr>
            </w:pPr>
            <w:r w:rsidRPr="009B0F7D">
              <w:rPr>
                <w:rFonts w:cs="Arial"/>
                <w:b w:val="0"/>
                <w:i/>
                <w:szCs w:val="22"/>
              </w:rPr>
              <w:t>Ministerio de Tecnologías de la Información y las Comunicaciones</w:t>
            </w:r>
            <w:r w:rsidR="00E21E28" w:rsidRPr="009B0F7D">
              <w:rPr>
                <w:rFonts w:cs="Arial"/>
                <w:b w:val="0"/>
                <w:i/>
                <w:szCs w:val="22"/>
              </w:rPr>
              <w:t xml:space="preserve"> y Ministerio de Comercio</w:t>
            </w:r>
            <w:r w:rsidR="000C1698" w:rsidRPr="009B0F7D">
              <w:rPr>
                <w:rFonts w:cs="Arial"/>
                <w:b w:val="0"/>
                <w:i/>
                <w:szCs w:val="22"/>
              </w:rPr>
              <w:t>,</w:t>
            </w:r>
            <w:r w:rsidR="00E21E28" w:rsidRPr="009B0F7D">
              <w:rPr>
                <w:rFonts w:cs="Arial"/>
                <w:b w:val="0"/>
                <w:i/>
                <w:szCs w:val="22"/>
              </w:rPr>
              <w:t xml:space="preserve"> </w:t>
            </w:r>
            <w:r w:rsidR="000C1698" w:rsidRPr="009B0F7D">
              <w:rPr>
                <w:rFonts w:cs="Arial"/>
                <w:b w:val="0"/>
                <w:i/>
                <w:szCs w:val="22"/>
              </w:rPr>
              <w:t>I</w:t>
            </w:r>
            <w:r w:rsidR="00E21E28" w:rsidRPr="009B0F7D">
              <w:rPr>
                <w:rFonts w:cs="Arial"/>
                <w:b w:val="0"/>
                <w:i/>
                <w:szCs w:val="22"/>
              </w:rPr>
              <w:t>ndustria y Turismo</w:t>
            </w:r>
            <w:r w:rsidR="00FB4BAB" w:rsidRPr="009B0F7D">
              <w:rPr>
                <w:rFonts w:cs="Arial"/>
                <w:b w:val="0"/>
                <w:i/>
                <w:szCs w:val="22"/>
              </w:rPr>
              <w:t>.</w:t>
            </w:r>
          </w:p>
        </w:tc>
      </w:tr>
      <w:tr w:rsidR="00FF3437" w:rsidRPr="009B0F7D" w14:paraId="3ABE694D"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9B0F7D" w:rsidRDefault="0026513E" w:rsidP="002264B8">
            <w:pPr>
              <w:pStyle w:val="Ttulo2"/>
              <w:ind w:right="72"/>
              <w:jc w:val="left"/>
              <w:rPr>
                <w:rFonts w:cs="Arial"/>
                <w:bCs/>
                <w:sz w:val="22"/>
                <w:szCs w:val="22"/>
              </w:rPr>
            </w:pPr>
            <w:r w:rsidRPr="009B0F7D">
              <w:rPr>
                <w:rFonts w:cs="Arial"/>
                <w:bCs/>
                <w:sz w:val="22"/>
                <w:szCs w:val="22"/>
              </w:rPr>
              <w:t>Fecha</w:t>
            </w:r>
            <w:r w:rsidR="00BB545F" w:rsidRPr="009B0F7D">
              <w:rPr>
                <w:rFonts w:cs="Arial"/>
                <w:bCs/>
                <w:sz w:val="22"/>
                <w:szCs w:val="22"/>
              </w:rPr>
              <w:t xml:space="preserve"> (dd/mm/aa)</w:t>
            </w:r>
            <w:r w:rsidR="00293F29" w:rsidRPr="009B0F7D">
              <w:rPr>
                <w:rFonts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0FF2573" w14:textId="159AFA6E" w:rsidR="00C47F73" w:rsidRPr="009B0F7D" w:rsidRDefault="009B0F7D" w:rsidP="005F30C3">
            <w:pPr>
              <w:pStyle w:val="Ttulo2"/>
              <w:ind w:left="72" w:right="72"/>
              <w:jc w:val="left"/>
              <w:rPr>
                <w:rFonts w:cs="Arial"/>
                <w:b w:val="0"/>
                <w:szCs w:val="22"/>
              </w:rPr>
            </w:pPr>
            <w:r w:rsidRPr="009B0F7D">
              <w:rPr>
                <w:rFonts w:cs="Arial"/>
                <w:b w:val="0"/>
                <w:i/>
                <w:szCs w:val="22"/>
              </w:rPr>
              <w:t>N</w:t>
            </w:r>
            <w:r w:rsidR="00B876BC" w:rsidRPr="009B0F7D">
              <w:rPr>
                <w:rFonts w:cs="Arial"/>
                <w:b w:val="0"/>
                <w:i/>
                <w:szCs w:val="22"/>
              </w:rPr>
              <w:t>oviembre</w:t>
            </w:r>
            <w:r w:rsidR="005B7452" w:rsidRPr="009B0F7D">
              <w:rPr>
                <w:rFonts w:cs="Arial"/>
                <w:b w:val="0"/>
                <w:i/>
                <w:szCs w:val="22"/>
              </w:rPr>
              <w:t xml:space="preserve"> </w:t>
            </w:r>
            <w:r w:rsidR="00472E16" w:rsidRPr="009B0F7D">
              <w:rPr>
                <w:rFonts w:cs="Arial"/>
                <w:b w:val="0"/>
                <w:i/>
                <w:szCs w:val="22"/>
              </w:rPr>
              <w:t>de 202</w:t>
            </w:r>
            <w:r w:rsidR="00FB4BAB" w:rsidRPr="009B0F7D">
              <w:rPr>
                <w:rFonts w:cs="Arial"/>
                <w:b w:val="0"/>
                <w:i/>
                <w:szCs w:val="22"/>
              </w:rPr>
              <w:t>2</w:t>
            </w:r>
            <w:r w:rsidR="00060B92" w:rsidRPr="009B0F7D">
              <w:rPr>
                <w:rFonts w:cs="Arial"/>
                <w:b w:val="0"/>
                <w:i/>
                <w:szCs w:val="22"/>
              </w:rPr>
              <w:t>.</w:t>
            </w:r>
          </w:p>
        </w:tc>
      </w:tr>
      <w:tr w:rsidR="00FF3437" w:rsidRPr="009B0F7D" w14:paraId="2BAE3F5D" w14:textId="77777777" w:rsidTr="6E80773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9B0F7D" w:rsidRDefault="00A55DB6" w:rsidP="002264B8">
            <w:pPr>
              <w:pStyle w:val="Ttulo2"/>
              <w:ind w:right="72"/>
              <w:jc w:val="left"/>
              <w:rPr>
                <w:rFonts w:cs="Arial"/>
                <w:b w:val="0"/>
                <w:i/>
                <w:szCs w:val="22"/>
              </w:rPr>
            </w:pPr>
            <w:r w:rsidRPr="009B0F7D">
              <w:rPr>
                <w:rFonts w:cs="Arial"/>
                <w:bCs/>
                <w:sz w:val="22"/>
                <w:szCs w:val="22"/>
              </w:rPr>
              <w:t xml:space="preserve">Proyecto de </w:t>
            </w:r>
            <w:r w:rsidR="00587695" w:rsidRPr="009B0F7D">
              <w:rPr>
                <w:rFonts w:cs="Arial"/>
                <w:bCs/>
                <w:sz w:val="22"/>
                <w:szCs w:val="22"/>
              </w:rPr>
              <w:t>D</w:t>
            </w:r>
            <w:r w:rsidRPr="009B0F7D">
              <w:rPr>
                <w:rFonts w:cs="Arial"/>
                <w:bCs/>
                <w:sz w:val="22"/>
                <w:szCs w:val="22"/>
              </w:rPr>
              <w:t>ecreto</w:t>
            </w:r>
            <w:r w:rsidR="00795C6B" w:rsidRPr="009B0F7D">
              <w:rPr>
                <w:rFonts w:cs="Arial"/>
                <w:bCs/>
                <w:sz w:val="22"/>
                <w:szCs w:val="22"/>
              </w:rPr>
              <w:t>/Resolución</w:t>
            </w:r>
            <w:r w:rsidR="00293F29" w:rsidRPr="009B0F7D">
              <w:rPr>
                <w:rFonts w:cs="Arial"/>
                <w:bCs/>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7F5D8B5C" w14:textId="5235554C" w:rsidR="00692DE3" w:rsidRPr="009B0F7D" w:rsidRDefault="00B01D63" w:rsidP="75EF3542">
            <w:pPr>
              <w:pStyle w:val="Ttulo2"/>
              <w:ind w:left="72" w:right="72"/>
              <w:jc w:val="left"/>
              <w:rPr>
                <w:rFonts w:cs="Arial"/>
                <w:b w:val="0"/>
                <w:i/>
                <w:iCs/>
              </w:rPr>
            </w:pPr>
            <w:r w:rsidRPr="009B0F7D">
              <w:rPr>
                <w:rFonts w:cs="Arial"/>
                <w:b w:val="0"/>
                <w:i/>
                <w:iCs/>
              </w:rPr>
              <w:t>“Por el cual se subroga el Título 11 de la Parte 2 del Libro 2 del Decreto número 1078 de 2015, Decreto Único Reglamentario del sector de Tecnologías de la Información y las Comunicaciones.”</w:t>
            </w:r>
          </w:p>
          <w:p w14:paraId="484831C3" w14:textId="3821AFAF" w:rsidR="00752F1A" w:rsidRPr="009B0F7D" w:rsidRDefault="00752F1A" w:rsidP="00752F1A"/>
        </w:tc>
      </w:tr>
      <w:tr w:rsidR="00FF3437" w:rsidRPr="009B0F7D" w14:paraId="5F829594" w14:textId="77777777" w:rsidTr="6E80773C">
        <w:trPr>
          <w:trHeight w:val="674"/>
        </w:trPr>
        <w:tc>
          <w:tcPr>
            <w:tcW w:w="10774" w:type="dxa"/>
            <w:gridSpan w:val="3"/>
            <w:tcBorders>
              <w:top w:val="single" w:sz="4" w:space="0" w:color="auto"/>
            </w:tcBorders>
            <w:shd w:val="clear" w:color="auto" w:fill="FFFFFF" w:themeFill="background1"/>
            <w:vAlign w:val="center"/>
          </w:tcPr>
          <w:p w14:paraId="672A6659" w14:textId="77777777" w:rsidR="006315B4" w:rsidRPr="009B0F7D" w:rsidRDefault="006315B4" w:rsidP="0075705D">
            <w:pPr>
              <w:autoSpaceDE w:val="0"/>
              <w:autoSpaceDN w:val="0"/>
              <w:adjustRightInd w:val="0"/>
              <w:jc w:val="both"/>
              <w:rPr>
                <w:rFonts w:eastAsia="Calibri" w:cs="Arial"/>
                <w:sz w:val="22"/>
                <w:szCs w:val="22"/>
                <w:lang w:val="es-CO" w:eastAsia="en-US"/>
              </w:rPr>
            </w:pPr>
          </w:p>
          <w:p w14:paraId="69EC224E" w14:textId="77777777" w:rsidR="0095690D" w:rsidRPr="009B0F7D" w:rsidRDefault="0095690D" w:rsidP="00F25909">
            <w:pPr>
              <w:numPr>
                <w:ilvl w:val="0"/>
                <w:numId w:val="1"/>
              </w:numPr>
              <w:ind w:left="494"/>
              <w:rPr>
                <w:rFonts w:cs="Arial"/>
                <w:b/>
                <w:sz w:val="22"/>
                <w:szCs w:val="22"/>
                <w:lang w:val="es-CO"/>
              </w:rPr>
            </w:pPr>
            <w:r w:rsidRPr="009B0F7D">
              <w:rPr>
                <w:rFonts w:cs="Arial"/>
                <w:b/>
                <w:sz w:val="22"/>
                <w:szCs w:val="22"/>
                <w:lang w:val="es-CO"/>
              </w:rPr>
              <w:t>ANTECEDENTES Y RAZONES DE OPORTUNIDAD Y CONVENIENCIA QUE JUSTIFICAN SU EXPEDICIÓN.</w:t>
            </w:r>
          </w:p>
          <w:p w14:paraId="0A37501D" w14:textId="77777777" w:rsidR="00F92F70" w:rsidRPr="009B0F7D" w:rsidRDefault="00F92F70" w:rsidP="00F92F70">
            <w:pPr>
              <w:ind w:left="134"/>
              <w:rPr>
                <w:rFonts w:cs="Arial"/>
                <w:b/>
                <w:sz w:val="22"/>
                <w:szCs w:val="22"/>
                <w:lang w:val="es-CO"/>
              </w:rPr>
            </w:pPr>
          </w:p>
          <w:p w14:paraId="1C252FD3" w14:textId="108F69EF" w:rsidR="00712594" w:rsidRPr="009B0F7D" w:rsidRDefault="00712594" w:rsidP="004669B9">
            <w:pPr>
              <w:pStyle w:val="Listavistosa-nfasis11"/>
              <w:numPr>
                <w:ilvl w:val="1"/>
                <w:numId w:val="1"/>
              </w:numPr>
              <w:jc w:val="both"/>
              <w:rPr>
                <w:rFonts w:ascii="Arial" w:hAnsi="Arial" w:cs="Arial"/>
                <w:b/>
              </w:rPr>
            </w:pPr>
            <w:r w:rsidRPr="009B0F7D">
              <w:rPr>
                <w:rFonts w:ascii="Arial" w:hAnsi="Arial" w:cs="Arial"/>
                <w:b/>
              </w:rPr>
              <w:t>Contexto</w:t>
            </w:r>
          </w:p>
          <w:p w14:paraId="68DFB4D6" w14:textId="77777777" w:rsidR="00B065A4" w:rsidRPr="009B0F7D" w:rsidRDefault="00B065A4" w:rsidP="00B065A4">
            <w:pPr>
              <w:pStyle w:val="Listavistosa-nfasis11"/>
              <w:jc w:val="both"/>
              <w:rPr>
                <w:rFonts w:ascii="Arial" w:hAnsi="Arial" w:cs="Arial"/>
                <w:b/>
              </w:rPr>
            </w:pPr>
          </w:p>
          <w:p w14:paraId="5F6D3637" w14:textId="212B1019" w:rsidR="00BC29B5" w:rsidRPr="009B0F7D" w:rsidRDefault="009D6AAD" w:rsidP="0036490E">
            <w:pPr>
              <w:pStyle w:val="Listavistosa-nfasis11"/>
              <w:jc w:val="both"/>
              <w:rPr>
                <w:rFonts w:ascii="Arial" w:hAnsi="Arial" w:cs="Arial"/>
              </w:rPr>
            </w:pPr>
            <w:r w:rsidRPr="009B0F7D">
              <w:rPr>
                <w:rFonts w:ascii="Arial" w:hAnsi="Arial" w:cs="Arial"/>
              </w:rPr>
              <w:t xml:space="preserve">El </w:t>
            </w:r>
            <w:r w:rsidR="00BC29B5" w:rsidRPr="009B0F7D">
              <w:rPr>
                <w:rFonts w:ascii="Arial" w:hAnsi="Arial" w:cs="Arial"/>
              </w:rPr>
              <w:t>Gobierno Nacional, preocupado por la alta incidencia de los teléfonos celulares en la dinámica del hurto a personas, desarrolló a partir del año 2011 una estrategia integral de lucha contra este flagelo</w:t>
            </w:r>
            <w:r w:rsidR="00427321" w:rsidRPr="009B0F7D">
              <w:rPr>
                <w:rFonts w:ascii="Arial" w:hAnsi="Arial" w:cs="Arial"/>
              </w:rPr>
              <w:t xml:space="preserve">, </w:t>
            </w:r>
            <w:r w:rsidR="00414FD9" w:rsidRPr="009B0F7D">
              <w:rPr>
                <w:rFonts w:ascii="Arial" w:hAnsi="Arial" w:cs="Arial"/>
              </w:rPr>
              <w:t>que</w:t>
            </w:r>
            <w:r w:rsidR="00BC29B5" w:rsidRPr="009B0F7D">
              <w:rPr>
                <w:rFonts w:ascii="Arial" w:hAnsi="Arial" w:cs="Arial"/>
              </w:rPr>
              <w:t xml:space="preserve"> comprendía varios frentes. En primer lugar, buscaba reducir las vulnerabilidades de mercado</w:t>
            </w:r>
            <w:r w:rsidR="003337D1" w:rsidRPr="009B0F7D">
              <w:rPr>
                <w:rFonts w:ascii="Arial" w:hAnsi="Arial" w:cs="Arial"/>
              </w:rPr>
              <w:t xml:space="preserve"> en la cadena de comercialización de los equipos terminales móviles</w:t>
            </w:r>
            <w:r w:rsidR="003337D1" w:rsidRPr="009B0F7D">
              <w:rPr>
                <w:rFonts w:cstheme="minorHAnsi"/>
              </w:rPr>
              <w:t xml:space="preserve"> (</w:t>
            </w:r>
            <w:r w:rsidR="003337D1" w:rsidRPr="009B0F7D">
              <w:rPr>
                <w:rFonts w:ascii="Arial" w:hAnsi="Arial" w:cs="Arial"/>
              </w:rPr>
              <w:t>ETM)</w:t>
            </w:r>
            <w:r w:rsidR="00BC29B5" w:rsidRPr="009B0F7D">
              <w:rPr>
                <w:rFonts w:ascii="Arial" w:hAnsi="Arial" w:cs="Arial"/>
              </w:rPr>
              <w:t>, en segundo lugar, pretendía atacar directamente las economías ilegales y</w:t>
            </w:r>
            <w:r w:rsidR="00FF3437" w:rsidRPr="009B0F7D">
              <w:rPr>
                <w:rFonts w:ascii="Arial" w:hAnsi="Arial" w:cs="Arial"/>
              </w:rPr>
              <w:t>,</w:t>
            </w:r>
            <w:r w:rsidR="00573B3C" w:rsidRPr="009B0F7D">
              <w:rPr>
                <w:rFonts w:ascii="Arial" w:hAnsi="Arial" w:cs="Arial"/>
              </w:rPr>
              <w:t xml:space="preserve"> </w:t>
            </w:r>
            <w:r w:rsidR="00BC29B5" w:rsidRPr="009B0F7D">
              <w:rPr>
                <w:rFonts w:ascii="Arial" w:hAnsi="Arial" w:cs="Arial"/>
              </w:rPr>
              <w:t>por último, intentaba concientizar a la ciudadanía sobre los perjuicios de adquirir dispositivos hurtados.</w:t>
            </w:r>
          </w:p>
          <w:p w14:paraId="6CE66DC4" w14:textId="77777777" w:rsidR="00C74578" w:rsidRPr="009B0F7D" w:rsidRDefault="00C74578" w:rsidP="0036490E">
            <w:pPr>
              <w:pStyle w:val="Listavistosa-nfasis11"/>
              <w:jc w:val="both"/>
              <w:rPr>
                <w:rFonts w:ascii="Arial" w:hAnsi="Arial" w:cs="Arial"/>
              </w:rPr>
            </w:pPr>
          </w:p>
          <w:p w14:paraId="3E3E0AF0" w14:textId="6F17C8BF" w:rsidR="0036490E" w:rsidRPr="009B0F7D" w:rsidRDefault="0024607E" w:rsidP="0036490E">
            <w:pPr>
              <w:pStyle w:val="Listavistosa-nfasis11"/>
              <w:jc w:val="both"/>
              <w:rPr>
                <w:rFonts w:ascii="Arial" w:hAnsi="Arial" w:cs="Arial"/>
              </w:rPr>
            </w:pPr>
            <w:r w:rsidRPr="009B0F7D">
              <w:rPr>
                <w:rFonts w:ascii="Arial" w:hAnsi="Arial" w:cs="Arial"/>
              </w:rPr>
              <w:t xml:space="preserve">Es así como en 2011 el Gobierno Nacional expidió el </w:t>
            </w:r>
            <w:r w:rsidR="0036490E" w:rsidRPr="009B0F7D">
              <w:rPr>
                <w:rFonts w:ascii="Arial" w:hAnsi="Arial" w:cs="Arial"/>
              </w:rPr>
              <w:t xml:space="preserve">Decreto 1630 </w:t>
            </w:r>
            <w:r w:rsidR="0036490E" w:rsidRPr="009B0F7D">
              <w:rPr>
                <w:rFonts w:ascii="Arial" w:hAnsi="Arial" w:cs="Arial"/>
                <w:i/>
              </w:rPr>
              <w:t>“Por medio del cual se adoptan medidas para restringir la operación de equipos terminales hurtados que son utilizados para la prestación de servicios de telecomunicaciones móviles”</w:t>
            </w:r>
            <w:r w:rsidR="000D359C" w:rsidRPr="009B0F7D">
              <w:rPr>
                <w:rFonts w:ascii="Arial" w:hAnsi="Arial" w:cs="Arial"/>
                <w:iCs/>
              </w:rPr>
              <w:t>, el cual posteriormente fue</w:t>
            </w:r>
            <w:r w:rsidR="0036490E" w:rsidRPr="009B0F7D">
              <w:rPr>
                <w:rFonts w:ascii="Arial" w:hAnsi="Arial" w:cs="Arial"/>
              </w:rPr>
              <w:t xml:space="preserve"> compilado en el Decreto 1078 de 2015</w:t>
            </w:r>
            <w:r w:rsidR="00FF3437" w:rsidRPr="009B0F7D">
              <w:rPr>
                <w:rFonts w:ascii="Arial" w:hAnsi="Arial" w:cs="Arial"/>
              </w:rPr>
              <w:t>.</w:t>
            </w:r>
            <w:r w:rsidR="0036490E" w:rsidRPr="009B0F7D">
              <w:rPr>
                <w:rFonts w:ascii="Arial" w:hAnsi="Arial" w:cs="Arial"/>
              </w:rPr>
              <w:t xml:space="preserve"> </w:t>
            </w:r>
            <w:r w:rsidR="00FF3437" w:rsidRPr="009B0F7D">
              <w:rPr>
                <w:rFonts w:ascii="Arial" w:hAnsi="Arial" w:cs="Arial"/>
              </w:rPr>
              <w:t xml:space="preserve">A </w:t>
            </w:r>
            <w:r w:rsidR="0036490E" w:rsidRPr="009B0F7D">
              <w:rPr>
                <w:rFonts w:ascii="Arial" w:hAnsi="Arial" w:cs="Arial"/>
              </w:rPr>
              <w:t xml:space="preserve">través </w:t>
            </w:r>
            <w:r w:rsidR="00FF3437" w:rsidRPr="009B0F7D">
              <w:rPr>
                <w:rFonts w:ascii="Arial" w:hAnsi="Arial" w:cs="Arial"/>
              </w:rPr>
              <w:t xml:space="preserve">de </w:t>
            </w:r>
            <w:r w:rsidR="000D359C" w:rsidRPr="009B0F7D">
              <w:rPr>
                <w:rFonts w:ascii="Arial" w:hAnsi="Arial" w:cs="Arial"/>
              </w:rPr>
              <w:t xml:space="preserve">esta norma </w:t>
            </w:r>
            <w:r w:rsidR="00FF3437" w:rsidRPr="009B0F7D">
              <w:rPr>
                <w:rFonts w:ascii="Arial" w:hAnsi="Arial" w:cs="Arial"/>
              </w:rPr>
              <w:t xml:space="preserve">se </w:t>
            </w:r>
            <w:r w:rsidRPr="009B0F7D">
              <w:rPr>
                <w:rFonts w:ascii="Arial" w:hAnsi="Arial" w:cs="Arial"/>
              </w:rPr>
              <w:t>estableció</w:t>
            </w:r>
            <w:r w:rsidR="0036490E" w:rsidRPr="009B0F7D">
              <w:rPr>
                <w:rFonts w:ascii="Arial" w:hAnsi="Arial" w:cs="Arial"/>
              </w:rPr>
              <w:t xml:space="preserve"> el marco reglamentario en materia de medidas para combatir el hurto de equipos terminales móviles en el país</w:t>
            </w:r>
            <w:r w:rsidR="00FF3437" w:rsidRPr="009B0F7D">
              <w:rPr>
                <w:rFonts w:ascii="Arial" w:hAnsi="Arial" w:cs="Arial"/>
              </w:rPr>
              <w:t>.</w:t>
            </w:r>
            <w:r w:rsidR="0036490E" w:rsidRPr="009B0F7D">
              <w:rPr>
                <w:rFonts w:ascii="Arial" w:hAnsi="Arial" w:cs="Arial"/>
              </w:rPr>
              <w:t xml:space="preserve"> </w:t>
            </w:r>
            <w:r w:rsidR="00FF3437" w:rsidRPr="009B0F7D">
              <w:rPr>
                <w:rFonts w:ascii="Arial" w:hAnsi="Arial" w:cs="Arial"/>
              </w:rPr>
              <w:t>De</w:t>
            </w:r>
            <w:r w:rsidR="0036490E" w:rsidRPr="009B0F7D">
              <w:rPr>
                <w:rFonts w:ascii="Arial" w:hAnsi="Arial" w:cs="Arial"/>
              </w:rPr>
              <w:t xml:space="preserve"> manera particular</w:t>
            </w:r>
            <w:r w:rsidR="00F46849" w:rsidRPr="009B0F7D">
              <w:rPr>
                <w:rFonts w:ascii="Arial" w:hAnsi="Arial" w:cs="Arial"/>
              </w:rPr>
              <w:t>,</w:t>
            </w:r>
            <w:r w:rsidR="0036490E" w:rsidRPr="009B0F7D">
              <w:rPr>
                <w:rFonts w:ascii="Arial" w:hAnsi="Arial" w:cs="Arial"/>
              </w:rPr>
              <w:t xml:space="preserve"> </w:t>
            </w:r>
            <w:r w:rsidR="0059560E" w:rsidRPr="009B0F7D">
              <w:rPr>
                <w:rFonts w:ascii="Arial" w:hAnsi="Arial" w:cs="Arial"/>
              </w:rPr>
              <w:t>estableció</w:t>
            </w:r>
            <w:r w:rsidR="0036490E" w:rsidRPr="009B0F7D">
              <w:rPr>
                <w:rFonts w:ascii="Arial" w:hAnsi="Arial" w:cs="Arial"/>
              </w:rPr>
              <w:t xml:space="preserve"> requisitos para las personas autorizadas en Colombia para la venta al público de </w:t>
            </w:r>
            <w:r w:rsidR="0059560E" w:rsidRPr="009B0F7D">
              <w:rPr>
                <w:rFonts w:ascii="Arial" w:hAnsi="Arial" w:cs="Arial"/>
              </w:rPr>
              <w:t>estos equipos</w:t>
            </w:r>
            <w:r w:rsidR="0036490E" w:rsidRPr="009B0F7D">
              <w:rPr>
                <w:rFonts w:ascii="Arial" w:hAnsi="Arial" w:cs="Arial"/>
              </w:rPr>
              <w:t xml:space="preserve">, la obligación de la implementación de las bases de datos y </w:t>
            </w:r>
            <w:r w:rsidR="00E879C9" w:rsidRPr="009B0F7D">
              <w:rPr>
                <w:rFonts w:ascii="Arial" w:hAnsi="Arial" w:cs="Arial"/>
              </w:rPr>
              <w:t xml:space="preserve">las condiciones para </w:t>
            </w:r>
            <w:r w:rsidR="0036490E" w:rsidRPr="009B0F7D">
              <w:rPr>
                <w:rFonts w:ascii="Arial" w:hAnsi="Arial" w:cs="Arial"/>
              </w:rPr>
              <w:t>la activación de los equipos terminales móviles, entre otras disposiciones.</w:t>
            </w:r>
          </w:p>
          <w:p w14:paraId="14102383" w14:textId="77777777" w:rsidR="00C64174" w:rsidRPr="009B0F7D" w:rsidRDefault="00C64174" w:rsidP="004008C3">
            <w:pPr>
              <w:pStyle w:val="Listavistosa-nfasis11"/>
              <w:ind w:left="0"/>
              <w:jc w:val="both"/>
              <w:rPr>
                <w:rFonts w:ascii="Arial" w:hAnsi="Arial" w:cs="Arial"/>
                <w:i/>
              </w:rPr>
            </w:pPr>
          </w:p>
          <w:p w14:paraId="1AAEE969" w14:textId="11A768F4" w:rsidR="0036490E" w:rsidRPr="009B0F7D" w:rsidRDefault="00EE06BC" w:rsidP="75EF3542">
            <w:pPr>
              <w:pStyle w:val="Listavistosa-nfasis11"/>
              <w:jc w:val="both"/>
              <w:rPr>
                <w:rFonts w:ascii="Arial" w:hAnsi="Arial" w:cs="Arial"/>
              </w:rPr>
            </w:pPr>
            <w:r w:rsidRPr="009B0F7D">
              <w:rPr>
                <w:rFonts w:ascii="Arial" w:hAnsi="Arial" w:cs="Arial"/>
              </w:rPr>
              <w:t xml:space="preserve">En </w:t>
            </w:r>
            <w:r w:rsidR="00EA22B0" w:rsidRPr="009B0F7D">
              <w:rPr>
                <w:rFonts w:ascii="Arial" w:hAnsi="Arial" w:cs="Arial"/>
              </w:rPr>
              <w:t>este mismo sentido</w:t>
            </w:r>
            <w:r w:rsidR="00767A71" w:rsidRPr="009B0F7D">
              <w:rPr>
                <w:rFonts w:ascii="Arial" w:hAnsi="Arial" w:cs="Arial"/>
              </w:rPr>
              <w:t>, posterior a la expedición del Decreto 1630 de 2011, se sancionó la</w:t>
            </w:r>
            <w:r w:rsidR="0036490E" w:rsidRPr="009B0F7D">
              <w:rPr>
                <w:rFonts w:ascii="Arial" w:hAnsi="Arial" w:cs="Arial"/>
              </w:rPr>
              <w:t xml:space="preserve"> Ley 1453 </w:t>
            </w:r>
            <w:r w:rsidR="00767A71" w:rsidRPr="009B0F7D">
              <w:rPr>
                <w:rFonts w:ascii="Arial" w:hAnsi="Arial" w:cs="Arial"/>
              </w:rPr>
              <w:t xml:space="preserve">del 24 de junio </w:t>
            </w:r>
            <w:r w:rsidR="0036490E" w:rsidRPr="009B0F7D">
              <w:rPr>
                <w:rFonts w:ascii="Arial" w:hAnsi="Arial" w:cs="Arial"/>
              </w:rPr>
              <w:t xml:space="preserve">de </w:t>
            </w:r>
            <w:r w:rsidR="0036490E" w:rsidRPr="009B0F7D">
              <w:rPr>
                <w:rFonts w:ascii="Arial" w:hAnsi="Arial" w:cs="Arial"/>
                <w:i/>
                <w:iCs/>
              </w:rPr>
              <w:t>2011 “Por medio de la cual se reforma el Código Penal, el Código de Procedimiento Penal, el Código de Infancia y Adolescencia, las reglas sobre extinción de dominio y se dictan otras disposiciones en materia de seguridad”</w:t>
            </w:r>
            <w:r w:rsidR="0036490E" w:rsidRPr="009B0F7D">
              <w:rPr>
                <w:rFonts w:ascii="Arial" w:hAnsi="Arial" w:cs="Arial"/>
              </w:rPr>
              <w:t xml:space="preserve">, </w:t>
            </w:r>
            <w:r w:rsidR="00BB0D2B" w:rsidRPr="009B0F7D">
              <w:rPr>
                <w:rFonts w:ascii="Arial" w:hAnsi="Arial" w:cs="Arial"/>
              </w:rPr>
              <w:t xml:space="preserve">que </w:t>
            </w:r>
            <w:r w:rsidR="0036490E" w:rsidRPr="009B0F7D">
              <w:rPr>
                <w:rFonts w:ascii="Arial" w:hAnsi="Arial" w:cs="Arial"/>
              </w:rPr>
              <w:t>introdujo en su artículo 105 el tipo penal consistente en “manipulación de equipos terminales móviles”</w:t>
            </w:r>
            <w:r w:rsidRPr="009B0F7D">
              <w:rPr>
                <w:rFonts w:ascii="Arial" w:hAnsi="Arial" w:cs="Arial"/>
              </w:rPr>
              <w:t>.</w:t>
            </w:r>
            <w:r w:rsidR="0036490E" w:rsidRPr="009B0F7D">
              <w:rPr>
                <w:rFonts w:ascii="Arial" w:hAnsi="Arial" w:cs="Arial"/>
              </w:rPr>
              <w:t xml:space="preserve"> </w:t>
            </w:r>
          </w:p>
          <w:p w14:paraId="4C958D75" w14:textId="3485E882" w:rsidR="0036490E" w:rsidRPr="009B0F7D" w:rsidRDefault="0036490E" w:rsidP="75EF3542">
            <w:pPr>
              <w:pStyle w:val="Listavistosa-nfasis11"/>
              <w:jc w:val="both"/>
              <w:rPr>
                <w:rFonts w:ascii="Arial" w:hAnsi="Arial" w:cs="Arial"/>
              </w:rPr>
            </w:pPr>
          </w:p>
          <w:p w14:paraId="6BBB7912" w14:textId="7E7D3959" w:rsidR="0036490E" w:rsidRPr="009B0F7D" w:rsidRDefault="00EE06BC" w:rsidP="0036490E">
            <w:pPr>
              <w:pStyle w:val="Listavistosa-nfasis11"/>
              <w:jc w:val="both"/>
              <w:rPr>
                <w:rFonts w:ascii="Arial" w:hAnsi="Arial" w:cs="Arial"/>
              </w:rPr>
            </w:pPr>
            <w:r w:rsidRPr="009B0F7D">
              <w:rPr>
                <w:rFonts w:ascii="Arial" w:hAnsi="Arial" w:cs="Arial"/>
              </w:rPr>
              <w:t>A través del</w:t>
            </w:r>
            <w:r w:rsidR="0036490E" w:rsidRPr="009B0F7D">
              <w:rPr>
                <w:rFonts w:ascii="Arial" w:hAnsi="Arial" w:cs="Arial"/>
              </w:rPr>
              <w:t xml:space="preserve"> </w:t>
            </w:r>
            <w:r w:rsidR="0007535A" w:rsidRPr="009B0F7D">
              <w:rPr>
                <w:rFonts w:ascii="Arial" w:hAnsi="Arial" w:cs="Arial"/>
              </w:rPr>
              <w:t>art</w:t>
            </w:r>
            <w:r w:rsidR="0007535A" w:rsidRPr="009B0F7D">
              <w:rPr>
                <w:rFonts w:cstheme="minorBidi"/>
              </w:rPr>
              <w:t>í</w:t>
            </w:r>
            <w:r w:rsidR="0007535A" w:rsidRPr="009B0F7D">
              <w:rPr>
                <w:rFonts w:ascii="Arial" w:hAnsi="Arial" w:cs="Arial"/>
              </w:rPr>
              <w:t xml:space="preserve">culo </w:t>
            </w:r>
            <w:r w:rsidR="0036490E" w:rsidRPr="009B0F7D">
              <w:rPr>
                <w:rFonts w:ascii="Arial" w:hAnsi="Arial" w:cs="Arial"/>
              </w:rPr>
              <w:t xml:space="preserve">106 </w:t>
            </w:r>
            <w:r w:rsidR="2DA04729" w:rsidRPr="009B0F7D">
              <w:rPr>
                <w:rFonts w:ascii="Arial" w:hAnsi="Arial" w:cs="Arial"/>
              </w:rPr>
              <w:t xml:space="preserve">de la citada normativa, </w:t>
            </w:r>
            <w:r w:rsidRPr="009B0F7D">
              <w:rPr>
                <w:rFonts w:ascii="Arial" w:hAnsi="Arial" w:cs="Arial"/>
              </w:rPr>
              <w:t xml:space="preserve">se </w:t>
            </w:r>
            <w:r w:rsidR="0036490E" w:rsidRPr="009B0F7D">
              <w:rPr>
                <w:rFonts w:ascii="Arial" w:hAnsi="Arial" w:cs="Arial"/>
              </w:rPr>
              <w:t xml:space="preserve">adicionó el numeral 21 al artículo 22 de la Ley 1341 de 2009, </w:t>
            </w:r>
            <w:r w:rsidRPr="009B0F7D">
              <w:rPr>
                <w:rFonts w:ascii="Arial" w:hAnsi="Arial" w:cs="Arial"/>
              </w:rPr>
              <w:t xml:space="preserve">que le </w:t>
            </w:r>
            <w:r w:rsidR="001F40DF" w:rsidRPr="009B0F7D">
              <w:rPr>
                <w:rFonts w:ascii="Arial" w:hAnsi="Arial" w:cs="Arial"/>
              </w:rPr>
              <w:t xml:space="preserve">asignó </w:t>
            </w:r>
            <w:r w:rsidRPr="009B0F7D">
              <w:rPr>
                <w:rFonts w:ascii="Arial" w:hAnsi="Arial" w:cs="Arial"/>
              </w:rPr>
              <w:t xml:space="preserve">a </w:t>
            </w:r>
            <w:r w:rsidR="0036490E" w:rsidRPr="009B0F7D">
              <w:rPr>
                <w:rFonts w:ascii="Arial" w:hAnsi="Arial" w:cs="Arial"/>
              </w:rPr>
              <w:t xml:space="preserve">la Comisión de Regulación de Comunicaciones </w:t>
            </w:r>
            <w:r w:rsidRPr="009B0F7D">
              <w:rPr>
                <w:rFonts w:ascii="Arial" w:hAnsi="Arial" w:cs="Arial"/>
              </w:rPr>
              <w:t>(</w:t>
            </w:r>
            <w:r w:rsidR="0036490E" w:rsidRPr="009B0F7D">
              <w:rPr>
                <w:rFonts w:ascii="Arial" w:hAnsi="Arial" w:cs="Arial"/>
              </w:rPr>
              <w:t>CRC</w:t>
            </w:r>
            <w:r w:rsidRPr="009B0F7D">
              <w:rPr>
                <w:rFonts w:ascii="Arial" w:hAnsi="Arial" w:cs="Arial"/>
              </w:rPr>
              <w:t>)</w:t>
            </w:r>
            <w:r w:rsidR="0036490E" w:rsidRPr="009B0F7D">
              <w:rPr>
                <w:rFonts w:ascii="Arial" w:hAnsi="Arial" w:cs="Arial"/>
              </w:rPr>
              <w:t xml:space="preserve"> la </w:t>
            </w:r>
            <w:r w:rsidRPr="009B0F7D">
              <w:rPr>
                <w:rFonts w:ascii="Arial" w:hAnsi="Arial" w:cs="Arial"/>
              </w:rPr>
              <w:t xml:space="preserve">función </w:t>
            </w:r>
            <w:r w:rsidR="0036490E" w:rsidRPr="009B0F7D">
              <w:rPr>
                <w:rFonts w:ascii="Arial" w:hAnsi="Arial" w:cs="Arial"/>
              </w:rPr>
              <w:t>para definir las condiciones y características de las bases de datos, tanto positivas como negativas, que contengan la información de identificación de los equipos terminales móviles, así como establecer las obligaciones de los proveedores de redes y servicios de comunicaciones</w:t>
            </w:r>
            <w:r w:rsidR="005F6780" w:rsidRPr="009B0F7D">
              <w:rPr>
                <w:rFonts w:ascii="Arial" w:hAnsi="Arial" w:cs="Arial"/>
              </w:rPr>
              <w:t>,</w:t>
            </w:r>
            <w:r w:rsidR="0036490E" w:rsidRPr="009B0F7D">
              <w:rPr>
                <w:rFonts w:ascii="Arial" w:hAnsi="Arial" w:cs="Arial"/>
              </w:rPr>
              <w:t xml:space="preserve"> comercializadores, distribuidores o cualquier comerciante de equipos terminales móviles, y las relativas al reporte de información ante la CRC y suministro de información a los usuarios en relación con la identificación de los equipos terminales móviles que permita el conocimiento de la legalidad o no de dichos equipos.</w:t>
            </w:r>
          </w:p>
          <w:p w14:paraId="7890C873" w14:textId="60C291D5" w:rsidR="00714D88" w:rsidRPr="009B0F7D" w:rsidRDefault="00714D88" w:rsidP="0036490E">
            <w:pPr>
              <w:pStyle w:val="Listavistosa-nfasis11"/>
              <w:jc w:val="both"/>
              <w:rPr>
                <w:rFonts w:ascii="Arial" w:hAnsi="Arial" w:cs="Arial"/>
              </w:rPr>
            </w:pPr>
          </w:p>
          <w:p w14:paraId="431D4E35" w14:textId="6C843D34" w:rsidR="00516D22" w:rsidRPr="009B0F7D" w:rsidRDefault="00516D22" w:rsidP="0036490E">
            <w:pPr>
              <w:pStyle w:val="Listavistosa-nfasis11"/>
              <w:jc w:val="both"/>
              <w:rPr>
                <w:rFonts w:ascii="Arial" w:hAnsi="Arial" w:cs="Arial"/>
              </w:rPr>
            </w:pPr>
            <w:r w:rsidRPr="009B0F7D">
              <w:rPr>
                <w:rFonts w:ascii="Arial" w:hAnsi="Arial" w:cs="Arial"/>
              </w:rPr>
              <w:lastRenderedPageBreak/>
              <w:t xml:space="preserve">La CRC, en el ejercicio de sus funciones ha expedido, desde 2011, diversas medidas regulatorias orientadas </w:t>
            </w:r>
            <w:r w:rsidR="00A054E6" w:rsidRPr="009B0F7D">
              <w:rPr>
                <w:rFonts w:ascii="Arial" w:hAnsi="Arial" w:cs="Arial"/>
              </w:rPr>
              <w:t xml:space="preserve">a </w:t>
            </w:r>
            <w:r w:rsidRPr="009B0F7D">
              <w:rPr>
                <w:rFonts w:ascii="Arial" w:hAnsi="Arial" w:cs="Arial"/>
              </w:rPr>
              <w:t xml:space="preserve">evitar el uso de equipos terminales móviles con reporte de hurto o extravío en las redes de los proveedores de redes y servicios de </w:t>
            </w:r>
            <w:r w:rsidR="1505D7BB" w:rsidRPr="009B0F7D">
              <w:rPr>
                <w:rFonts w:ascii="Arial" w:hAnsi="Arial" w:cs="Arial"/>
              </w:rPr>
              <w:t>tele</w:t>
            </w:r>
            <w:r w:rsidRPr="009B0F7D">
              <w:rPr>
                <w:rFonts w:ascii="Arial" w:hAnsi="Arial" w:cs="Arial"/>
              </w:rPr>
              <w:t>comunicaciones, las cuales se encuentran compiladas en la Resolución CRC 5050 de 2016.</w:t>
            </w:r>
          </w:p>
          <w:p w14:paraId="54437A1D" w14:textId="46658781" w:rsidR="00516D22" w:rsidRPr="009B0F7D" w:rsidRDefault="00516D22" w:rsidP="0036490E">
            <w:pPr>
              <w:pStyle w:val="Listavistosa-nfasis11"/>
              <w:jc w:val="both"/>
              <w:rPr>
                <w:rFonts w:ascii="Arial" w:hAnsi="Arial" w:cs="Arial"/>
              </w:rPr>
            </w:pPr>
          </w:p>
          <w:p w14:paraId="651C4500" w14:textId="4BFCB2EB" w:rsidR="006B54A8" w:rsidRPr="009B0F7D" w:rsidRDefault="00714D88" w:rsidP="0020502F">
            <w:pPr>
              <w:pStyle w:val="Listavistosa-nfasis11"/>
              <w:jc w:val="both"/>
              <w:rPr>
                <w:rFonts w:ascii="Arial" w:hAnsi="Arial" w:cs="Arial"/>
              </w:rPr>
            </w:pPr>
            <w:r w:rsidRPr="009B0F7D">
              <w:rPr>
                <w:rFonts w:ascii="Arial" w:hAnsi="Arial" w:cs="Arial"/>
              </w:rPr>
              <w:t xml:space="preserve">Dado que las medidas antes señaladas </w:t>
            </w:r>
            <w:r w:rsidR="56ADF139" w:rsidRPr="009B0F7D">
              <w:rPr>
                <w:rFonts w:ascii="Arial" w:hAnsi="Arial" w:cs="Arial"/>
              </w:rPr>
              <w:t>fueron expedidas hace más de 10 años</w:t>
            </w:r>
            <w:r w:rsidR="00503A70" w:rsidRPr="009B0F7D">
              <w:rPr>
                <w:rFonts w:ascii="Arial" w:hAnsi="Arial" w:cs="Arial"/>
              </w:rPr>
              <w:t xml:space="preserve">, </w:t>
            </w:r>
            <w:r w:rsidR="003959E6" w:rsidRPr="009B0F7D">
              <w:rPr>
                <w:rFonts w:ascii="Arial" w:hAnsi="Arial" w:cs="Arial"/>
              </w:rPr>
              <w:t>la Comisi</w:t>
            </w:r>
            <w:r w:rsidR="008A7B6D" w:rsidRPr="009B0F7D">
              <w:rPr>
                <w:rFonts w:ascii="Arial" w:hAnsi="Arial" w:cs="Arial"/>
              </w:rPr>
              <w:t>ón observó</w:t>
            </w:r>
            <w:r w:rsidR="003959E6" w:rsidRPr="009B0F7D">
              <w:rPr>
                <w:rFonts w:ascii="Arial" w:hAnsi="Arial" w:cs="Arial"/>
              </w:rPr>
              <w:t xml:space="preserve"> </w:t>
            </w:r>
            <w:r w:rsidR="00503A70" w:rsidRPr="009B0F7D">
              <w:rPr>
                <w:rFonts w:ascii="Arial" w:hAnsi="Arial" w:cs="Arial"/>
              </w:rPr>
              <w:t xml:space="preserve">necesario analizar la eficiencia de las mismas y su impacto en </w:t>
            </w:r>
            <w:r w:rsidR="00F14CE1" w:rsidRPr="009B0F7D">
              <w:rPr>
                <w:rFonts w:ascii="Arial" w:hAnsi="Arial" w:cs="Arial"/>
              </w:rPr>
              <w:t>la disminución</w:t>
            </w:r>
            <w:r w:rsidR="00F9093D" w:rsidRPr="009B0F7D">
              <w:rPr>
                <w:rFonts w:ascii="Arial" w:hAnsi="Arial" w:cs="Arial"/>
              </w:rPr>
              <w:t>, reducción o mitigación</w:t>
            </w:r>
            <w:r w:rsidR="00F14CE1" w:rsidRPr="009B0F7D">
              <w:rPr>
                <w:rFonts w:cstheme="minorBidi"/>
              </w:rPr>
              <w:t xml:space="preserve"> </w:t>
            </w:r>
            <w:r w:rsidR="00F9093D" w:rsidRPr="009B0F7D">
              <w:rPr>
                <w:rFonts w:ascii="Arial" w:hAnsi="Arial" w:cs="Arial"/>
              </w:rPr>
              <w:t>d</w:t>
            </w:r>
            <w:r w:rsidR="00EB32EB" w:rsidRPr="009B0F7D">
              <w:rPr>
                <w:rFonts w:ascii="Arial" w:hAnsi="Arial" w:cs="Arial"/>
              </w:rPr>
              <w:t xml:space="preserve">el hurto de </w:t>
            </w:r>
            <w:r w:rsidR="00090F95" w:rsidRPr="009B0F7D">
              <w:rPr>
                <w:rFonts w:ascii="Arial" w:hAnsi="Arial" w:cs="Arial"/>
              </w:rPr>
              <w:t>equipos terminales móviles</w:t>
            </w:r>
            <w:r w:rsidR="00EB32EB" w:rsidRPr="009B0F7D">
              <w:rPr>
                <w:rFonts w:ascii="Arial" w:hAnsi="Arial" w:cs="Arial"/>
              </w:rPr>
              <w:t>.</w:t>
            </w:r>
            <w:r w:rsidR="00EB44B9" w:rsidRPr="009B0F7D">
              <w:rPr>
                <w:rFonts w:ascii="Arial" w:hAnsi="Arial" w:cs="Arial"/>
              </w:rPr>
              <w:t xml:space="preserve"> </w:t>
            </w:r>
            <w:r w:rsidR="00C106FC" w:rsidRPr="009B0F7D">
              <w:rPr>
                <w:rFonts w:ascii="Arial" w:hAnsi="Arial" w:cs="Arial"/>
              </w:rPr>
              <w:t>Así las cosas</w:t>
            </w:r>
            <w:r w:rsidR="0036490E" w:rsidRPr="009B0F7D">
              <w:rPr>
                <w:rFonts w:ascii="Arial" w:hAnsi="Arial" w:cs="Arial"/>
              </w:rPr>
              <w:t xml:space="preserve">, la CRC </w:t>
            </w:r>
            <w:r w:rsidR="00FF72C5" w:rsidRPr="009B0F7D">
              <w:rPr>
                <w:rFonts w:ascii="Arial" w:hAnsi="Arial" w:cs="Arial"/>
                <w:iCs/>
              </w:rPr>
              <w:t>desde abril del año 2019</w:t>
            </w:r>
            <w:r w:rsidR="00FF72C5" w:rsidRPr="009B0F7D">
              <w:rPr>
                <w:rStyle w:val="Refdenotaalpie"/>
                <w:rFonts w:cs="Tahoma"/>
              </w:rPr>
              <w:footnoteReference w:id="2"/>
            </w:r>
            <w:r w:rsidR="003C1CD5" w:rsidRPr="009B0F7D">
              <w:rPr>
                <w:rFonts w:ascii="Arial" w:hAnsi="Arial" w:cs="Arial"/>
                <w:iCs/>
              </w:rPr>
              <w:t xml:space="preserve"> </w:t>
            </w:r>
            <w:r w:rsidR="003C1CD5" w:rsidRPr="009B0F7D">
              <w:rPr>
                <w:rFonts w:ascii="Arial" w:hAnsi="Arial" w:cs="Arial"/>
              </w:rPr>
              <w:t xml:space="preserve">desarrolla </w:t>
            </w:r>
            <w:r w:rsidR="0036490E" w:rsidRPr="009B0F7D">
              <w:rPr>
                <w:rFonts w:ascii="Arial" w:hAnsi="Arial" w:cs="Arial"/>
              </w:rPr>
              <w:t xml:space="preserve">el proyecto </w:t>
            </w:r>
            <w:r w:rsidR="0036490E" w:rsidRPr="009B0F7D">
              <w:rPr>
                <w:rFonts w:ascii="Arial" w:hAnsi="Arial" w:cs="Arial"/>
                <w:i/>
                <w:iCs/>
              </w:rPr>
              <w:t>“Simplificación del marco regulatorio para la restricción de equipos terminales hurtados”</w:t>
            </w:r>
            <w:r w:rsidR="0036490E" w:rsidRPr="009B0F7D">
              <w:rPr>
                <w:rFonts w:ascii="Arial" w:hAnsi="Arial" w:cs="Arial"/>
              </w:rPr>
              <w:t xml:space="preserve">, </w:t>
            </w:r>
            <w:r w:rsidR="009D75BA" w:rsidRPr="009B0F7D">
              <w:rPr>
                <w:rFonts w:ascii="Arial" w:hAnsi="Arial" w:cs="Arial"/>
              </w:rPr>
              <w:t>cuy</w:t>
            </w:r>
            <w:r w:rsidR="13EF14F6" w:rsidRPr="009B0F7D">
              <w:rPr>
                <w:rFonts w:ascii="Arial" w:hAnsi="Arial" w:cs="Arial"/>
              </w:rPr>
              <w:t>a</w:t>
            </w:r>
            <w:r w:rsidR="009D75BA" w:rsidRPr="009B0F7D">
              <w:rPr>
                <w:rFonts w:ascii="Arial" w:hAnsi="Arial" w:cs="Arial"/>
              </w:rPr>
              <w:t xml:space="preserve"> </w:t>
            </w:r>
            <w:r w:rsidR="00C22434" w:rsidRPr="009B0F7D">
              <w:rPr>
                <w:rFonts w:ascii="Arial" w:hAnsi="Arial" w:cs="Arial"/>
              </w:rPr>
              <w:t>metodología</w:t>
            </w:r>
            <w:r w:rsidR="009D75BA" w:rsidRPr="009B0F7D">
              <w:rPr>
                <w:rFonts w:ascii="Arial" w:hAnsi="Arial" w:cs="Arial"/>
              </w:rPr>
              <w:t xml:space="preserve"> partió de identificar el problema a ser abordado</w:t>
            </w:r>
            <w:r w:rsidR="00C22434" w:rsidRPr="009B0F7D">
              <w:rPr>
                <w:rFonts w:ascii="Arial" w:hAnsi="Arial" w:cs="Arial"/>
              </w:rPr>
              <w:t>, siendo este</w:t>
            </w:r>
            <w:r w:rsidR="009D75BA" w:rsidRPr="009B0F7D">
              <w:rPr>
                <w:rFonts w:ascii="Arial" w:hAnsi="Arial" w:cs="Arial"/>
              </w:rPr>
              <w:t xml:space="preserve"> </w:t>
            </w:r>
            <w:r w:rsidR="009D75BA" w:rsidRPr="009B0F7D">
              <w:rPr>
                <w:rFonts w:ascii="Arial" w:hAnsi="Arial" w:cs="Arial"/>
                <w:i/>
                <w:iCs/>
              </w:rPr>
              <w:t>“</w:t>
            </w:r>
            <w:r w:rsidR="0020502F" w:rsidRPr="009B0F7D">
              <w:rPr>
                <w:rFonts w:ascii="Arial" w:hAnsi="Arial" w:cs="Arial"/>
                <w:i/>
                <w:iCs/>
              </w:rPr>
              <w:t>Las medidas para restringir la operación de equipos terminales hurtados o alterados han acumulado una alta complejidad que impacta negativamente la eficiencia de su implementaci</w:t>
            </w:r>
            <w:r w:rsidR="394D4DAE" w:rsidRPr="009B0F7D">
              <w:rPr>
                <w:rFonts w:ascii="Arial" w:hAnsi="Arial" w:cs="Arial"/>
                <w:i/>
                <w:iCs/>
              </w:rPr>
              <w:t>ó</w:t>
            </w:r>
            <w:r w:rsidR="0020502F" w:rsidRPr="009B0F7D">
              <w:rPr>
                <w:rFonts w:ascii="Arial" w:hAnsi="Arial" w:cs="Arial"/>
                <w:i/>
                <w:iCs/>
              </w:rPr>
              <w:t>n y operación</w:t>
            </w:r>
            <w:r w:rsidR="006B22A8" w:rsidRPr="009B0F7D">
              <w:rPr>
                <w:rFonts w:ascii="Arial" w:hAnsi="Arial" w:cs="Arial"/>
                <w:i/>
                <w:iCs/>
              </w:rPr>
              <w:t>”</w:t>
            </w:r>
            <w:r w:rsidR="009B401D" w:rsidRPr="009B0F7D">
              <w:rPr>
                <w:rStyle w:val="Refdenotaalpie"/>
                <w:rFonts w:ascii="Arial" w:hAnsi="Arial" w:cs="Arial"/>
                <w:i/>
                <w:iCs/>
              </w:rPr>
              <w:footnoteReference w:id="3"/>
            </w:r>
            <w:r w:rsidR="00D40A65" w:rsidRPr="009B0F7D">
              <w:t xml:space="preserve"> </w:t>
            </w:r>
            <w:r w:rsidR="00D40A65" w:rsidRPr="009B0F7D">
              <w:rPr>
                <w:rFonts w:ascii="Arial" w:hAnsi="Arial" w:cs="Arial"/>
              </w:rPr>
              <w:t>y así</w:t>
            </w:r>
            <w:r w:rsidR="00D05370" w:rsidRPr="009B0F7D">
              <w:rPr>
                <w:rFonts w:ascii="Arial" w:hAnsi="Arial" w:cs="Arial"/>
              </w:rPr>
              <w:t xml:space="preserve"> posteriormente formular</w:t>
            </w:r>
            <w:r w:rsidR="00D05370" w:rsidRPr="009B0F7D">
              <w:t xml:space="preserve"> </w:t>
            </w:r>
            <w:r w:rsidR="00BE257E" w:rsidRPr="009B0F7D">
              <w:rPr>
                <w:rFonts w:ascii="Arial" w:hAnsi="Arial" w:cs="Arial"/>
              </w:rPr>
              <w:t xml:space="preserve">el </w:t>
            </w:r>
            <w:r w:rsidR="0017180D" w:rsidRPr="009B0F7D">
              <w:rPr>
                <w:rFonts w:ascii="Arial" w:hAnsi="Arial" w:cs="Arial"/>
              </w:rPr>
              <w:t xml:space="preserve">objetivo </w:t>
            </w:r>
            <w:r w:rsidR="00BE257E" w:rsidRPr="009B0F7D">
              <w:rPr>
                <w:rFonts w:ascii="Arial" w:hAnsi="Arial" w:cs="Arial"/>
              </w:rPr>
              <w:t xml:space="preserve">de </w:t>
            </w:r>
            <w:r w:rsidR="00C23D6B" w:rsidRPr="009B0F7D">
              <w:rPr>
                <w:rFonts w:ascii="Arial" w:hAnsi="Arial" w:cs="Arial"/>
              </w:rPr>
              <w:t>revisar las medidas de detección y control de dispositivos hurtados, extraviados y alterados</w:t>
            </w:r>
            <w:r w:rsidR="008A7B6D" w:rsidRPr="009B0F7D">
              <w:rPr>
                <w:rFonts w:ascii="Arial" w:hAnsi="Arial" w:cs="Arial"/>
              </w:rPr>
              <w:t xml:space="preserve">, a fin de </w:t>
            </w:r>
            <w:r w:rsidR="00C23D6B" w:rsidRPr="009B0F7D">
              <w:rPr>
                <w:rFonts w:ascii="Arial" w:hAnsi="Arial" w:cs="Arial"/>
              </w:rPr>
              <w:t xml:space="preserve">verificar la pertinencia de sostener, modificar, retirar o complementar las </w:t>
            </w:r>
            <w:r w:rsidR="0017180D" w:rsidRPr="009B0F7D">
              <w:rPr>
                <w:rFonts w:ascii="Arial" w:hAnsi="Arial" w:cs="Arial"/>
              </w:rPr>
              <w:t>medidas regulatorias aplicables en la actualidad para incrementar la eficiencia de la implementación y operación de la estrategia a adoptar</w:t>
            </w:r>
            <w:r w:rsidR="00AB6722" w:rsidRPr="009B0F7D">
              <w:rPr>
                <w:rFonts w:ascii="Arial" w:hAnsi="Arial" w:cs="Arial"/>
              </w:rPr>
              <w:t>.</w:t>
            </w:r>
          </w:p>
          <w:p w14:paraId="332B55BA" w14:textId="77777777" w:rsidR="0017180D" w:rsidRPr="009B0F7D" w:rsidRDefault="0017180D" w:rsidP="004008C3">
            <w:pPr>
              <w:pStyle w:val="Listavistosa-nfasis11"/>
              <w:ind w:left="0"/>
              <w:jc w:val="both"/>
              <w:rPr>
                <w:rFonts w:ascii="Arial" w:hAnsi="Arial" w:cs="Arial"/>
              </w:rPr>
            </w:pPr>
          </w:p>
          <w:p w14:paraId="3D359BDF" w14:textId="5D7C8C50" w:rsidR="00C66913" w:rsidRPr="009B0F7D" w:rsidRDefault="00AB6722" w:rsidP="00F66EDC">
            <w:pPr>
              <w:pStyle w:val="Listavistosa-nfasis11"/>
              <w:jc w:val="both"/>
              <w:rPr>
                <w:rFonts w:ascii="Arial" w:hAnsi="Arial" w:cs="Arial"/>
              </w:rPr>
            </w:pPr>
            <w:r w:rsidRPr="009B0F7D">
              <w:rPr>
                <w:rFonts w:ascii="Arial" w:hAnsi="Arial" w:cs="Arial"/>
              </w:rPr>
              <w:t xml:space="preserve">Bajo este contexto </w:t>
            </w:r>
            <w:r w:rsidR="00C92A2D" w:rsidRPr="009B0F7D">
              <w:rPr>
                <w:rFonts w:ascii="Arial" w:hAnsi="Arial" w:cs="Arial"/>
              </w:rPr>
              <w:t xml:space="preserve">la CRC </w:t>
            </w:r>
            <w:r w:rsidRPr="009B0F7D">
              <w:rPr>
                <w:rFonts w:ascii="Arial" w:hAnsi="Arial" w:cs="Arial"/>
              </w:rPr>
              <w:t>r</w:t>
            </w:r>
            <w:r w:rsidR="0036490E" w:rsidRPr="009B0F7D">
              <w:rPr>
                <w:rFonts w:ascii="Arial" w:hAnsi="Arial" w:cs="Arial"/>
              </w:rPr>
              <w:t xml:space="preserve">ealizó un análisis encaminado a verificar las posibilidades de reducción del conjunto de medidas regulatorias asociadas al control del hurto de equipos terminales y concluyó que existe adaptabilidad por parte de la delincuencia frente a dichas medidas, lo </w:t>
            </w:r>
            <w:r w:rsidR="00BC6858" w:rsidRPr="009B0F7D">
              <w:rPr>
                <w:rFonts w:ascii="Arial" w:hAnsi="Arial" w:cs="Arial"/>
              </w:rPr>
              <w:t>que</w:t>
            </w:r>
            <w:r w:rsidR="0036490E" w:rsidRPr="009B0F7D">
              <w:rPr>
                <w:rFonts w:ascii="Arial" w:hAnsi="Arial" w:cs="Arial"/>
              </w:rPr>
              <w:t xml:space="preserve"> conlleva al aumento de la complejidad de las mismas e impacta la eficiencia en </w:t>
            </w:r>
            <w:r w:rsidR="06BB3E74" w:rsidRPr="009B0F7D">
              <w:rPr>
                <w:rFonts w:ascii="Arial" w:hAnsi="Arial" w:cs="Arial"/>
              </w:rPr>
              <w:t xml:space="preserve">los </w:t>
            </w:r>
            <w:r w:rsidR="0036490E" w:rsidRPr="009B0F7D">
              <w:rPr>
                <w:rFonts w:ascii="Arial" w:hAnsi="Arial" w:cs="Arial"/>
              </w:rPr>
              <w:t xml:space="preserve">costos de </w:t>
            </w:r>
            <w:r w:rsidR="00E81BD0" w:rsidRPr="009B0F7D">
              <w:rPr>
                <w:rFonts w:ascii="Arial" w:hAnsi="Arial" w:cs="Arial"/>
              </w:rPr>
              <w:t xml:space="preserve">su </w:t>
            </w:r>
            <w:r w:rsidR="0036490E" w:rsidRPr="009B0F7D">
              <w:rPr>
                <w:rFonts w:ascii="Arial" w:hAnsi="Arial" w:cs="Arial"/>
              </w:rPr>
              <w:t>operació</w:t>
            </w:r>
            <w:r w:rsidR="00E81BD0" w:rsidRPr="009B0F7D">
              <w:rPr>
                <w:rFonts w:ascii="Arial" w:hAnsi="Arial" w:cs="Arial"/>
              </w:rPr>
              <w:t>n</w:t>
            </w:r>
            <w:r w:rsidR="00BB383B" w:rsidRPr="009B0F7D">
              <w:rPr>
                <w:rFonts w:ascii="Arial" w:hAnsi="Arial" w:cs="Arial"/>
              </w:rPr>
              <w:t>.</w:t>
            </w:r>
            <w:r w:rsidR="0036490E" w:rsidRPr="009B0F7D">
              <w:rPr>
                <w:rFonts w:ascii="Arial" w:hAnsi="Arial" w:cs="Arial"/>
              </w:rPr>
              <w:t xml:space="preserve"> Es así como, la CRC planteó </w:t>
            </w:r>
            <w:r w:rsidR="00C22434" w:rsidRPr="009B0F7D">
              <w:rPr>
                <w:rFonts w:ascii="Arial" w:hAnsi="Arial" w:cs="Arial"/>
              </w:rPr>
              <w:t xml:space="preserve">de manera inicial </w:t>
            </w:r>
            <w:r w:rsidR="0036490E" w:rsidRPr="009B0F7D">
              <w:rPr>
                <w:rFonts w:ascii="Arial" w:hAnsi="Arial" w:cs="Arial"/>
              </w:rPr>
              <w:t xml:space="preserve">al sector de telecomunicaciones </w:t>
            </w:r>
            <w:r w:rsidR="00C21D89" w:rsidRPr="009B0F7D">
              <w:rPr>
                <w:rFonts w:ascii="Arial" w:hAnsi="Arial" w:cs="Arial"/>
              </w:rPr>
              <w:t xml:space="preserve">tres </w:t>
            </w:r>
            <w:r w:rsidR="0009411F" w:rsidRPr="009B0F7D">
              <w:rPr>
                <w:rFonts w:ascii="Arial" w:hAnsi="Arial" w:cs="Arial"/>
              </w:rPr>
              <w:t xml:space="preserve">(3) </w:t>
            </w:r>
            <w:r w:rsidR="00C21D89" w:rsidRPr="009B0F7D">
              <w:rPr>
                <w:rFonts w:ascii="Arial" w:hAnsi="Arial" w:cs="Arial"/>
              </w:rPr>
              <w:t xml:space="preserve">alternativas </w:t>
            </w:r>
            <w:r w:rsidR="00C36B19" w:rsidRPr="009B0F7D">
              <w:rPr>
                <w:rFonts w:ascii="Arial" w:hAnsi="Arial" w:cs="Arial"/>
              </w:rPr>
              <w:t xml:space="preserve">regulatorias </w:t>
            </w:r>
            <w:r w:rsidR="00C21D89" w:rsidRPr="009B0F7D">
              <w:rPr>
                <w:rFonts w:ascii="Arial" w:hAnsi="Arial" w:cs="Arial"/>
              </w:rPr>
              <w:t xml:space="preserve">posibles </w:t>
            </w:r>
            <w:r w:rsidR="00923493" w:rsidRPr="009B0F7D">
              <w:rPr>
                <w:rFonts w:ascii="Arial" w:hAnsi="Arial" w:cs="Arial"/>
              </w:rPr>
              <w:t xml:space="preserve">tendientes a simplificar y </w:t>
            </w:r>
            <w:r w:rsidR="0036490E" w:rsidRPr="009B0F7D">
              <w:rPr>
                <w:rFonts w:ascii="Arial" w:hAnsi="Arial" w:cs="Arial"/>
              </w:rPr>
              <w:t>garantizar la eficiencia del marco regulatorio vigente</w:t>
            </w:r>
            <w:r w:rsidR="00AD751F" w:rsidRPr="009B0F7D">
              <w:rPr>
                <w:rFonts w:ascii="Arial" w:hAnsi="Arial" w:cs="Arial"/>
              </w:rPr>
              <w:t>,</w:t>
            </w:r>
            <w:r w:rsidR="00923493" w:rsidRPr="009B0F7D">
              <w:rPr>
                <w:rFonts w:ascii="Arial" w:hAnsi="Arial" w:cs="Arial"/>
              </w:rPr>
              <w:t xml:space="preserve"> </w:t>
            </w:r>
            <w:r w:rsidR="00AD751F" w:rsidRPr="009B0F7D">
              <w:rPr>
                <w:rFonts w:ascii="Arial" w:hAnsi="Arial" w:cs="Arial"/>
              </w:rPr>
              <w:t>que</w:t>
            </w:r>
            <w:r w:rsidR="0036490E" w:rsidRPr="009B0F7D">
              <w:rPr>
                <w:rFonts w:ascii="Arial" w:hAnsi="Arial" w:cs="Arial"/>
              </w:rPr>
              <w:t xml:space="preserve"> implica</w:t>
            </w:r>
            <w:r w:rsidR="003C6266" w:rsidRPr="009B0F7D">
              <w:rPr>
                <w:rFonts w:ascii="Arial" w:hAnsi="Arial" w:cs="Arial"/>
              </w:rPr>
              <w:t>n</w:t>
            </w:r>
            <w:r w:rsidR="0036490E" w:rsidRPr="009B0F7D">
              <w:rPr>
                <w:rFonts w:ascii="Arial" w:hAnsi="Arial" w:cs="Arial"/>
              </w:rPr>
              <w:t xml:space="preserve"> </w:t>
            </w:r>
            <w:r w:rsidR="003C6266" w:rsidRPr="009B0F7D">
              <w:rPr>
                <w:rFonts w:ascii="Arial" w:hAnsi="Arial" w:cs="Arial"/>
              </w:rPr>
              <w:t>la</w:t>
            </w:r>
            <w:r w:rsidR="0036490E" w:rsidRPr="009B0F7D">
              <w:rPr>
                <w:rFonts w:ascii="Arial" w:hAnsi="Arial" w:cs="Arial"/>
              </w:rPr>
              <w:t xml:space="preserve"> reevaluación del funcionamiento de la base de datos positiva</w:t>
            </w:r>
            <w:r w:rsidR="00A82050" w:rsidRPr="009B0F7D">
              <w:rPr>
                <w:rFonts w:ascii="Arial" w:hAnsi="Arial" w:cs="Arial"/>
              </w:rPr>
              <w:t xml:space="preserve">; las </w:t>
            </w:r>
            <w:r w:rsidR="00D51AAE" w:rsidRPr="009B0F7D">
              <w:rPr>
                <w:rFonts w:ascii="Arial" w:hAnsi="Arial" w:cs="Arial"/>
              </w:rPr>
              <w:t xml:space="preserve">tres </w:t>
            </w:r>
            <w:r w:rsidR="0009411F" w:rsidRPr="009B0F7D">
              <w:rPr>
                <w:rFonts w:ascii="Arial" w:hAnsi="Arial" w:cs="Arial"/>
              </w:rPr>
              <w:t xml:space="preserve">(3) </w:t>
            </w:r>
            <w:r w:rsidR="00A82050" w:rsidRPr="009B0F7D">
              <w:rPr>
                <w:rFonts w:ascii="Arial" w:hAnsi="Arial" w:cs="Arial"/>
              </w:rPr>
              <w:t>alternativas planteadas fueron</w:t>
            </w:r>
            <w:r w:rsidR="00D51AAE" w:rsidRPr="009B0F7D">
              <w:rPr>
                <w:rFonts w:ascii="Arial" w:hAnsi="Arial" w:cs="Arial"/>
              </w:rPr>
              <w:t xml:space="preserve"> las siguientes</w:t>
            </w:r>
            <w:r w:rsidR="00A82050" w:rsidRPr="009B0F7D">
              <w:rPr>
                <w:rFonts w:ascii="Arial" w:hAnsi="Arial" w:cs="Arial"/>
              </w:rPr>
              <w:t xml:space="preserve">: i) </w:t>
            </w:r>
            <w:r w:rsidR="00DB374D" w:rsidRPr="009B0F7D">
              <w:rPr>
                <w:rFonts w:ascii="Arial" w:hAnsi="Arial" w:cs="Arial"/>
              </w:rPr>
              <w:t xml:space="preserve">mantener el statu quo, ii) eliminación del proceso de registro y de alta en la base de datos administrativa </w:t>
            </w:r>
            <w:r w:rsidR="00F66EDC" w:rsidRPr="009B0F7D">
              <w:rPr>
                <w:rFonts w:ascii="Arial" w:hAnsi="Arial" w:cs="Arial"/>
              </w:rPr>
              <w:t xml:space="preserve">(BDA) </w:t>
            </w:r>
            <w:r w:rsidR="00DB374D" w:rsidRPr="009B0F7D">
              <w:rPr>
                <w:rFonts w:ascii="Arial" w:hAnsi="Arial" w:cs="Arial"/>
              </w:rPr>
              <w:t xml:space="preserve">positiva, y iii) </w:t>
            </w:r>
            <w:r w:rsidR="00F66EDC" w:rsidRPr="009B0F7D">
              <w:rPr>
                <w:rFonts w:ascii="Arial" w:hAnsi="Arial" w:cs="Arial"/>
              </w:rPr>
              <w:t xml:space="preserve"> eliminación del proceso de registro de usuario en la BDA positiva</w:t>
            </w:r>
            <w:r w:rsidR="003E6BDA" w:rsidRPr="009B0F7D">
              <w:rPr>
                <w:rStyle w:val="Refdenotaalpie"/>
                <w:rFonts w:ascii="Arial" w:hAnsi="Arial" w:cs="Arial"/>
              </w:rPr>
              <w:footnoteReference w:id="4"/>
            </w:r>
            <w:r w:rsidR="00F66EDC" w:rsidRPr="009B0F7D">
              <w:rPr>
                <w:rFonts w:ascii="Arial" w:hAnsi="Arial" w:cs="Arial"/>
              </w:rPr>
              <w:t>.</w:t>
            </w:r>
          </w:p>
          <w:p w14:paraId="61EFA850" w14:textId="54A7597F" w:rsidR="00600C61" w:rsidRPr="009B0F7D" w:rsidRDefault="00600C61" w:rsidP="00F66EDC">
            <w:pPr>
              <w:pStyle w:val="Listavistosa-nfasis11"/>
              <w:jc w:val="both"/>
              <w:rPr>
                <w:rFonts w:ascii="Arial" w:hAnsi="Arial" w:cs="Arial"/>
              </w:rPr>
            </w:pPr>
          </w:p>
          <w:p w14:paraId="33213F72" w14:textId="129EE7C0" w:rsidR="00600C61" w:rsidRPr="009B0F7D" w:rsidRDefault="002B5D62" w:rsidP="00F66EDC">
            <w:pPr>
              <w:pStyle w:val="Listavistosa-nfasis11"/>
              <w:jc w:val="both"/>
              <w:rPr>
                <w:rFonts w:ascii="Arial" w:hAnsi="Arial" w:cs="Arial"/>
              </w:rPr>
            </w:pPr>
            <w:r w:rsidRPr="009B0F7D">
              <w:rPr>
                <w:rFonts w:ascii="Arial" w:hAnsi="Arial" w:cs="Arial"/>
              </w:rPr>
              <w:t xml:space="preserve">En desarrollo de lo anterior, y con base en los comentarios recibidos del sector a las alternativas presentadas, la CRC incluyó dos </w:t>
            </w:r>
            <w:r w:rsidR="00EF750D" w:rsidRPr="009B0F7D">
              <w:rPr>
                <w:rFonts w:ascii="Arial" w:hAnsi="Arial" w:cs="Arial"/>
              </w:rPr>
              <w:t xml:space="preserve">(2) </w:t>
            </w:r>
            <w:r w:rsidRPr="009B0F7D">
              <w:rPr>
                <w:rFonts w:ascii="Arial" w:hAnsi="Arial" w:cs="Arial"/>
              </w:rPr>
              <w:t xml:space="preserve">alternativas adicionales, siendo estas: iv) mantener solamente el bloqueo y detección por hurto y extravío; </w:t>
            </w:r>
            <w:r w:rsidR="00041A9D" w:rsidRPr="009B0F7D">
              <w:rPr>
                <w:rFonts w:ascii="Arial" w:hAnsi="Arial" w:cs="Arial"/>
              </w:rPr>
              <w:t xml:space="preserve">y </w:t>
            </w:r>
            <w:r w:rsidRPr="009B0F7D">
              <w:rPr>
                <w:rFonts w:ascii="Arial" w:hAnsi="Arial" w:cs="Arial"/>
              </w:rPr>
              <w:t>v) mantener en la base de datos positiva los IMEI de los ETM importados legalmente, mantener el histórico del registro de base de datos positiva y reducir el control de IME</w:t>
            </w:r>
            <w:r w:rsidR="00B807D3" w:rsidRPr="009B0F7D">
              <w:rPr>
                <w:rFonts w:ascii="Arial" w:hAnsi="Arial" w:cs="Arial"/>
              </w:rPr>
              <w:t>I</w:t>
            </w:r>
            <w:r w:rsidRPr="009B0F7D">
              <w:rPr>
                <w:rFonts w:ascii="Arial" w:hAnsi="Arial" w:cs="Arial"/>
              </w:rPr>
              <w:t xml:space="preserve"> duplicados</w:t>
            </w:r>
            <w:r w:rsidR="00F649AD" w:rsidRPr="009B0F7D">
              <w:rPr>
                <w:rStyle w:val="Refdenotaalpie"/>
                <w:rFonts w:ascii="Arial" w:hAnsi="Arial" w:cs="Arial"/>
              </w:rPr>
              <w:footnoteReference w:id="5"/>
            </w:r>
            <w:r w:rsidRPr="009B0F7D">
              <w:rPr>
                <w:rFonts w:ascii="Arial" w:hAnsi="Arial" w:cs="Arial"/>
              </w:rPr>
              <w:t>.</w:t>
            </w:r>
          </w:p>
          <w:p w14:paraId="029A73E9" w14:textId="77777777" w:rsidR="00A0122A" w:rsidRPr="009B0F7D" w:rsidRDefault="00A0122A" w:rsidP="0036490E">
            <w:pPr>
              <w:pStyle w:val="Listavistosa-nfasis11"/>
              <w:jc w:val="both"/>
              <w:rPr>
                <w:rFonts w:ascii="Arial" w:hAnsi="Arial" w:cs="Arial"/>
              </w:rPr>
            </w:pPr>
          </w:p>
          <w:p w14:paraId="0B7B576E" w14:textId="5812AFFC" w:rsidR="00B31FE1" w:rsidRPr="009B0F7D" w:rsidRDefault="00FB0A21" w:rsidP="00535D6C">
            <w:pPr>
              <w:pStyle w:val="Listavistosa-nfasis11"/>
              <w:jc w:val="both"/>
              <w:rPr>
                <w:rFonts w:ascii="Arial" w:hAnsi="Arial" w:cs="Arial"/>
              </w:rPr>
            </w:pPr>
            <w:r w:rsidRPr="009B0F7D">
              <w:rPr>
                <w:rFonts w:ascii="Arial" w:hAnsi="Arial" w:cs="Arial"/>
              </w:rPr>
              <w:t xml:space="preserve">Como </w:t>
            </w:r>
            <w:r w:rsidR="00861BD9" w:rsidRPr="009B0F7D">
              <w:rPr>
                <w:rFonts w:ascii="Arial" w:hAnsi="Arial" w:cs="Arial"/>
              </w:rPr>
              <w:t xml:space="preserve">resultado </w:t>
            </w:r>
            <w:r w:rsidRPr="009B0F7D">
              <w:rPr>
                <w:rFonts w:ascii="Arial" w:hAnsi="Arial" w:cs="Arial"/>
              </w:rPr>
              <w:t>de</w:t>
            </w:r>
            <w:r w:rsidR="002A21B8" w:rsidRPr="009B0F7D">
              <w:rPr>
                <w:rFonts w:ascii="Arial" w:hAnsi="Arial" w:cs="Arial"/>
              </w:rPr>
              <w:t xml:space="preserve"> </w:t>
            </w:r>
            <w:r w:rsidR="00C03B76" w:rsidRPr="009B0F7D">
              <w:rPr>
                <w:rFonts w:ascii="Arial" w:hAnsi="Arial" w:cs="Arial"/>
              </w:rPr>
              <w:t xml:space="preserve">los estudios y </w:t>
            </w:r>
            <w:r w:rsidRPr="009B0F7D">
              <w:rPr>
                <w:rFonts w:ascii="Arial" w:hAnsi="Arial" w:cs="Arial"/>
              </w:rPr>
              <w:t>l</w:t>
            </w:r>
            <w:r w:rsidR="002A21B8" w:rsidRPr="009B0F7D">
              <w:rPr>
                <w:rFonts w:ascii="Arial" w:hAnsi="Arial" w:cs="Arial"/>
              </w:rPr>
              <w:t>as actividades llevadas a cabo en el marco del proyecto regulatorio mencionado</w:t>
            </w:r>
            <w:r w:rsidR="009C36DE" w:rsidRPr="009B0F7D">
              <w:rPr>
                <w:rStyle w:val="Refdenotaalpie"/>
                <w:rFonts w:ascii="Arial" w:hAnsi="Arial" w:cs="Arial"/>
              </w:rPr>
              <w:footnoteReference w:id="6"/>
            </w:r>
            <w:r w:rsidR="002A21B8" w:rsidRPr="009B0F7D">
              <w:rPr>
                <w:rFonts w:ascii="Arial" w:hAnsi="Arial" w:cs="Arial"/>
              </w:rPr>
              <w:t xml:space="preserve">, </w:t>
            </w:r>
            <w:r w:rsidR="00C03B76" w:rsidRPr="009B0F7D">
              <w:rPr>
                <w:rFonts w:ascii="Arial" w:hAnsi="Arial" w:cs="Arial"/>
              </w:rPr>
              <w:t>se</w:t>
            </w:r>
            <w:r w:rsidR="0044663D" w:rsidRPr="009B0F7D">
              <w:rPr>
                <w:rFonts w:ascii="Arial" w:hAnsi="Arial" w:cs="Arial"/>
              </w:rPr>
              <w:t xml:space="preserve"> </w:t>
            </w:r>
            <w:r w:rsidR="00F341AD" w:rsidRPr="009B0F7D">
              <w:rPr>
                <w:rFonts w:ascii="Arial" w:hAnsi="Arial" w:cs="Arial"/>
              </w:rPr>
              <w:t>defini</w:t>
            </w:r>
            <w:r w:rsidR="0052739A" w:rsidRPr="009B0F7D">
              <w:rPr>
                <w:rFonts w:ascii="Arial" w:hAnsi="Arial" w:cs="Arial"/>
              </w:rPr>
              <w:t>ó</w:t>
            </w:r>
            <w:r w:rsidR="00F341AD" w:rsidRPr="009B0F7D">
              <w:rPr>
                <w:rFonts w:ascii="Arial" w:hAnsi="Arial" w:cs="Arial"/>
              </w:rPr>
              <w:t xml:space="preserve"> la mejor opción </w:t>
            </w:r>
            <w:r w:rsidR="00DA7456" w:rsidRPr="009B0F7D">
              <w:rPr>
                <w:rFonts w:ascii="Arial" w:hAnsi="Arial" w:cs="Arial"/>
              </w:rPr>
              <w:t>que permit</w:t>
            </w:r>
            <w:r w:rsidR="0047346D" w:rsidRPr="009B0F7D">
              <w:rPr>
                <w:rFonts w:ascii="Arial" w:hAnsi="Arial" w:cs="Arial"/>
              </w:rPr>
              <w:t>e</w:t>
            </w:r>
            <w:r w:rsidR="00DA7456" w:rsidRPr="009B0F7D">
              <w:rPr>
                <w:rFonts w:ascii="Arial" w:hAnsi="Arial" w:cs="Arial"/>
              </w:rPr>
              <w:t xml:space="preserve"> </w:t>
            </w:r>
            <w:r w:rsidR="00260243" w:rsidRPr="009B0F7D">
              <w:rPr>
                <w:rFonts w:ascii="Arial" w:hAnsi="Arial" w:cs="Arial"/>
              </w:rPr>
              <w:t xml:space="preserve">simplificar </w:t>
            </w:r>
            <w:r w:rsidR="00E21B38" w:rsidRPr="009B0F7D">
              <w:rPr>
                <w:rFonts w:ascii="Arial" w:hAnsi="Arial" w:cs="Arial"/>
              </w:rPr>
              <w:t xml:space="preserve">los procesos regulatorios </w:t>
            </w:r>
            <w:r w:rsidR="00CD0682" w:rsidRPr="009B0F7D">
              <w:rPr>
                <w:rFonts w:ascii="Arial" w:hAnsi="Arial" w:cs="Arial"/>
              </w:rPr>
              <w:t xml:space="preserve">de la </w:t>
            </w:r>
            <w:r w:rsidR="006258E7" w:rsidRPr="009B0F7D">
              <w:rPr>
                <w:rFonts w:ascii="Arial" w:hAnsi="Arial" w:cs="Arial"/>
              </w:rPr>
              <w:t xml:space="preserve">estrategia </w:t>
            </w:r>
            <w:r w:rsidR="00CD0682" w:rsidRPr="009B0F7D">
              <w:rPr>
                <w:rFonts w:ascii="Arial" w:hAnsi="Arial" w:cs="Arial"/>
              </w:rPr>
              <w:t>contra</w:t>
            </w:r>
            <w:r w:rsidR="00887FA1" w:rsidRPr="009B0F7D">
              <w:rPr>
                <w:rFonts w:ascii="Arial" w:hAnsi="Arial" w:cs="Arial"/>
              </w:rPr>
              <w:t xml:space="preserve"> el </w:t>
            </w:r>
            <w:r w:rsidR="006258E7" w:rsidRPr="009B0F7D">
              <w:rPr>
                <w:rFonts w:ascii="Arial" w:hAnsi="Arial" w:cs="Arial"/>
              </w:rPr>
              <w:t xml:space="preserve">hurto </w:t>
            </w:r>
            <w:r w:rsidR="00887FA1" w:rsidRPr="009B0F7D">
              <w:rPr>
                <w:rFonts w:ascii="Arial" w:hAnsi="Arial" w:cs="Arial"/>
              </w:rPr>
              <w:t>de ETM.</w:t>
            </w:r>
            <w:r w:rsidR="00F649AD" w:rsidRPr="009B0F7D">
              <w:rPr>
                <w:rFonts w:ascii="Arial" w:hAnsi="Arial" w:cs="Arial"/>
              </w:rPr>
              <w:t xml:space="preserve"> </w:t>
            </w:r>
            <w:r w:rsidR="00084799" w:rsidRPr="009B0F7D">
              <w:rPr>
                <w:rFonts w:ascii="Arial" w:hAnsi="Arial" w:cs="Arial"/>
              </w:rPr>
              <w:t>En este sentido</w:t>
            </w:r>
            <w:r w:rsidR="00632BD1" w:rsidRPr="009B0F7D">
              <w:rPr>
                <w:rFonts w:ascii="Arial" w:hAnsi="Arial" w:cs="Arial"/>
              </w:rPr>
              <w:t xml:space="preserve">, </w:t>
            </w:r>
            <w:r w:rsidR="00B807D3" w:rsidRPr="009B0F7D">
              <w:rPr>
                <w:rFonts w:ascii="Arial" w:hAnsi="Arial" w:cs="Arial"/>
              </w:rPr>
              <w:t xml:space="preserve">se </w:t>
            </w:r>
            <w:r w:rsidR="00DE0F42" w:rsidRPr="009B0F7D">
              <w:rPr>
                <w:rFonts w:ascii="Arial" w:hAnsi="Arial" w:cs="Arial"/>
              </w:rPr>
              <w:t xml:space="preserve">concluyó </w:t>
            </w:r>
            <w:r w:rsidR="00310142" w:rsidRPr="009B0F7D">
              <w:rPr>
                <w:rFonts w:ascii="Arial" w:hAnsi="Arial" w:cs="Arial"/>
              </w:rPr>
              <w:t xml:space="preserve">que es necesario simplificar las condiciones y características técnicas de la </w:t>
            </w:r>
            <w:r w:rsidR="006D01F9" w:rsidRPr="009B0F7D">
              <w:rPr>
                <w:rFonts w:ascii="Arial" w:hAnsi="Arial" w:cs="Arial"/>
              </w:rPr>
              <w:t xml:space="preserve">BDA </w:t>
            </w:r>
            <w:r w:rsidR="00310142" w:rsidRPr="009B0F7D">
              <w:rPr>
                <w:rFonts w:ascii="Arial" w:hAnsi="Arial" w:cs="Arial"/>
              </w:rPr>
              <w:t>positiva</w:t>
            </w:r>
            <w:r w:rsidR="008D33C0" w:rsidRPr="009B0F7D">
              <w:rPr>
                <w:rFonts w:ascii="Arial" w:hAnsi="Arial" w:cs="Arial"/>
              </w:rPr>
              <w:t>,</w:t>
            </w:r>
            <w:r w:rsidR="00767281" w:rsidRPr="009B0F7D">
              <w:rPr>
                <w:rFonts w:ascii="Arial" w:hAnsi="Arial" w:cs="Arial"/>
              </w:rPr>
              <w:t xml:space="preserve"> de cara a </w:t>
            </w:r>
            <w:r w:rsidR="00684F87" w:rsidRPr="009B0F7D">
              <w:rPr>
                <w:rFonts w:ascii="Arial" w:hAnsi="Arial" w:cs="Arial"/>
              </w:rPr>
              <w:t>que la Comisión de Regulación de Comunicaciones</w:t>
            </w:r>
            <w:r w:rsidR="00861BD9" w:rsidRPr="009B0F7D">
              <w:rPr>
                <w:rFonts w:ascii="Arial" w:hAnsi="Arial" w:cs="Arial"/>
              </w:rPr>
              <w:t>,</w:t>
            </w:r>
            <w:r w:rsidR="00684F87" w:rsidRPr="009B0F7D">
              <w:rPr>
                <w:rFonts w:ascii="Arial" w:hAnsi="Arial" w:cs="Arial"/>
              </w:rPr>
              <w:t xml:space="preserve"> en ejecución de sus funciones</w:t>
            </w:r>
            <w:r w:rsidR="004B7823" w:rsidRPr="009B0F7D">
              <w:rPr>
                <w:rFonts w:ascii="Arial" w:hAnsi="Arial" w:cs="Arial"/>
              </w:rPr>
              <w:t>,</w:t>
            </w:r>
            <w:r w:rsidR="00684F87" w:rsidRPr="009B0F7D">
              <w:rPr>
                <w:rFonts w:ascii="Arial" w:hAnsi="Arial" w:cs="Arial"/>
              </w:rPr>
              <w:t xml:space="preserve"> pueda regular el funcionamiento de la</w:t>
            </w:r>
            <w:r w:rsidR="00424CD1" w:rsidRPr="009B0F7D">
              <w:rPr>
                <w:rFonts w:ascii="Arial" w:hAnsi="Arial" w:cs="Arial"/>
              </w:rPr>
              <w:t xml:space="preserve"> misma</w:t>
            </w:r>
            <w:r w:rsidR="00684F87" w:rsidRPr="009B0F7D">
              <w:rPr>
                <w:rFonts w:ascii="Arial" w:hAnsi="Arial" w:cs="Arial"/>
              </w:rPr>
              <w:t xml:space="preserve"> base</w:t>
            </w:r>
            <w:r w:rsidR="00A640F5" w:rsidRPr="009B0F7D">
              <w:rPr>
                <w:rFonts w:ascii="Arial" w:hAnsi="Arial" w:cs="Arial"/>
              </w:rPr>
              <w:t>,</w:t>
            </w:r>
            <w:r w:rsidR="00684F87" w:rsidRPr="009B0F7D">
              <w:rPr>
                <w:rFonts w:ascii="Arial" w:hAnsi="Arial" w:cs="Arial"/>
              </w:rPr>
              <w:t xml:space="preserve"> </w:t>
            </w:r>
            <w:r w:rsidR="007A760D" w:rsidRPr="009B0F7D">
              <w:rPr>
                <w:rFonts w:ascii="Arial" w:hAnsi="Arial" w:cs="Arial"/>
              </w:rPr>
              <w:t>de acuerdo con las condiciones cambiantes del mercado</w:t>
            </w:r>
            <w:r w:rsidR="00424CD1" w:rsidRPr="009B0F7D">
              <w:rPr>
                <w:rFonts w:ascii="Arial" w:hAnsi="Arial" w:cs="Arial"/>
              </w:rPr>
              <w:t xml:space="preserve"> y </w:t>
            </w:r>
            <w:r w:rsidR="00A716DC" w:rsidRPr="009B0F7D">
              <w:rPr>
                <w:rFonts w:ascii="Arial" w:hAnsi="Arial" w:cs="Arial"/>
              </w:rPr>
              <w:t>con el fin de lograr</w:t>
            </w:r>
            <w:r w:rsidR="00535D6C" w:rsidRPr="009B0F7D">
              <w:rPr>
                <w:rFonts w:ascii="Arial" w:hAnsi="Arial" w:cs="Arial"/>
              </w:rPr>
              <w:t xml:space="preserve"> </w:t>
            </w:r>
            <w:r w:rsidR="00A716DC" w:rsidRPr="009B0F7D">
              <w:rPr>
                <w:rFonts w:ascii="Arial" w:hAnsi="Arial" w:cs="Arial"/>
              </w:rPr>
              <w:t>e</w:t>
            </w:r>
            <w:r w:rsidR="00535D6C" w:rsidRPr="009B0F7D">
              <w:rPr>
                <w:rFonts w:ascii="Arial" w:hAnsi="Arial" w:cs="Arial"/>
              </w:rPr>
              <w:t>ficiencia</w:t>
            </w:r>
            <w:r w:rsidR="00A716DC" w:rsidRPr="009B0F7D">
              <w:rPr>
                <w:rFonts w:ascii="Arial" w:hAnsi="Arial" w:cs="Arial"/>
              </w:rPr>
              <w:t>s</w:t>
            </w:r>
            <w:r w:rsidR="00535D6C" w:rsidRPr="009B0F7D">
              <w:rPr>
                <w:rFonts w:ascii="Arial" w:hAnsi="Arial" w:cs="Arial"/>
              </w:rPr>
              <w:t xml:space="preserve"> en </w:t>
            </w:r>
            <w:r w:rsidR="00A716DC" w:rsidRPr="009B0F7D">
              <w:rPr>
                <w:rFonts w:ascii="Arial" w:hAnsi="Arial" w:cs="Arial"/>
              </w:rPr>
              <w:t xml:space="preserve">los </w:t>
            </w:r>
            <w:r w:rsidR="00535D6C" w:rsidRPr="009B0F7D">
              <w:rPr>
                <w:rFonts w:ascii="Arial" w:hAnsi="Arial" w:cs="Arial"/>
              </w:rPr>
              <w:t xml:space="preserve">costos de operación </w:t>
            </w:r>
            <w:r w:rsidR="00863C4D" w:rsidRPr="009B0F7D">
              <w:rPr>
                <w:rFonts w:ascii="Arial" w:hAnsi="Arial" w:cs="Arial"/>
              </w:rPr>
              <w:t>de los PRST</w:t>
            </w:r>
            <w:r w:rsidR="00FD06FA" w:rsidRPr="009B0F7D">
              <w:rPr>
                <w:rFonts w:ascii="Arial" w:hAnsi="Arial" w:cs="Arial"/>
              </w:rPr>
              <w:t>,</w:t>
            </w:r>
            <w:r w:rsidR="00863C4D" w:rsidRPr="009B0F7D">
              <w:rPr>
                <w:rFonts w:ascii="Arial" w:hAnsi="Arial" w:cs="Arial"/>
              </w:rPr>
              <w:t xml:space="preserve"> </w:t>
            </w:r>
            <w:r w:rsidR="00FD06FA" w:rsidRPr="009B0F7D">
              <w:rPr>
                <w:rFonts w:ascii="Arial" w:hAnsi="Arial" w:cs="Arial"/>
              </w:rPr>
              <w:t xml:space="preserve">resultantes </w:t>
            </w:r>
            <w:r w:rsidR="00535D6C" w:rsidRPr="009B0F7D">
              <w:rPr>
                <w:rFonts w:ascii="Arial" w:hAnsi="Arial" w:cs="Arial"/>
              </w:rPr>
              <w:t>de la estrategia</w:t>
            </w:r>
            <w:r w:rsidR="00B625FB" w:rsidRPr="009B0F7D">
              <w:rPr>
                <w:rFonts w:ascii="Arial" w:hAnsi="Arial" w:cs="Arial"/>
              </w:rPr>
              <w:t xml:space="preserve"> </w:t>
            </w:r>
            <w:r w:rsidR="00705906" w:rsidRPr="009B0F7D">
              <w:rPr>
                <w:rFonts w:ascii="Arial" w:hAnsi="Arial" w:cs="Arial"/>
              </w:rPr>
              <w:t>en mención.</w:t>
            </w:r>
          </w:p>
          <w:p w14:paraId="4D774CAA" w14:textId="79A1E0E4" w:rsidR="00956C51" w:rsidRPr="009B0F7D" w:rsidRDefault="00956C51" w:rsidP="00535D6C">
            <w:pPr>
              <w:pStyle w:val="Listavistosa-nfasis11"/>
              <w:jc w:val="both"/>
              <w:rPr>
                <w:rFonts w:ascii="Arial" w:hAnsi="Arial" w:cs="Arial"/>
              </w:rPr>
            </w:pPr>
          </w:p>
          <w:p w14:paraId="523D9465" w14:textId="05873C95" w:rsidR="004C1726" w:rsidRPr="009B0F7D" w:rsidRDefault="001B139B" w:rsidP="00535D6C">
            <w:pPr>
              <w:pStyle w:val="Listavistosa-nfasis11"/>
              <w:jc w:val="both"/>
              <w:rPr>
                <w:rFonts w:ascii="Arial" w:hAnsi="Arial" w:cs="Arial"/>
              </w:rPr>
            </w:pPr>
            <w:r w:rsidRPr="009B0F7D">
              <w:rPr>
                <w:rFonts w:ascii="Arial" w:hAnsi="Arial" w:cs="Arial"/>
              </w:rPr>
              <w:t>En este orden de ideas, t</w:t>
            </w:r>
            <w:r w:rsidR="00AB2028" w:rsidRPr="009B0F7D">
              <w:rPr>
                <w:rFonts w:ascii="Arial" w:hAnsi="Arial" w:cs="Arial"/>
              </w:rPr>
              <w:t>eniendo en cuenta que</w:t>
            </w:r>
            <w:r w:rsidR="149DD0C5" w:rsidRPr="009B0F7D">
              <w:rPr>
                <w:rFonts w:ascii="Arial" w:hAnsi="Arial" w:cs="Arial"/>
              </w:rPr>
              <w:t xml:space="preserve"> a</w:t>
            </w:r>
            <w:r w:rsidR="00AB2028" w:rsidRPr="009B0F7D">
              <w:rPr>
                <w:rFonts w:ascii="Arial" w:hAnsi="Arial" w:cs="Arial"/>
              </w:rPr>
              <w:t xml:space="preserve"> la CRC, en ejercicio </w:t>
            </w:r>
            <w:r w:rsidR="00610300" w:rsidRPr="009B0F7D">
              <w:rPr>
                <w:rFonts w:ascii="Arial" w:hAnsi="Arial" w:cs="Arial"/>
              </w:rPr>
              <w:t xml:space="preserve">de </w:t>
            </w:r>
            <w:r w:rsidR="00AB2028" w:rsidRPr="009B0F7D">
              <w:rPr>
                <w:rFonts w:ascii="Arial" w:hAnsi="Arial" w:cs="Arial"/>
              </w:rPr>
              <w:t xml:space="preserve">sus funciones, en particular, la prevista en el artículo 106 de la Ley 1453 de 2011, le corresponde definir las condiciones y características de </w:t>
            </w:r>
            <w:r w:rsidR="001977B5" w:rsidRPr="009B0F7D">
              <w:rPr>
                <w:rFonts w:ascii="Arial" w:hAnsi="Arial" w:cs="Arial"/>
              </w:rPr>
              <w:t xml:space="preserve">las </w:t>
            </w:r>
            <w:r w:rsidR="00FB2F13" w:rsidRPr="009B0F7D">
              <w:rPr>
                <w:rFonts w:ascii="Arial" w:hAnsi="Arial" w:cs="Arial"/>
              </w:rPr>
              <w:t>BDA</w:t>
            </w:r>
            <w:r w:rsidR="00AB2028" w:rsidRPr="009B0F7D">
              <w:rPr>
                <w:rFonts w:ascii="Arial" w:hAnsi="Arial" w:cs="Arial"/>
              </w:rPr>
              <w:t xml:space="preserve"> tanto positivas como negativas, que contengan la información de identificación de equipos terminales móviles, así como</w:t>
            </w:r>
            <w:r w:rsidR="5DB30C53" w:rsidRPr="009B0F7D">
              <w:rPr>
                <w:rFonts w:ascii="Arial" w:hAnsi="Arial" w:cs="Arial"/>
              </w:rPr>
              <w:t>,</w:t>
            </w:r>
            <w:r w:rsidR="00AB2028" w:rsidRPr="009B0F7D">
              <w:rPr>
                <w:rFonts w:ascii="Arial" w:hAnsi="Arial" w:cs="Arial"/>
              </w:rPr>
              <w:t xml:space="preserve"> establecer las obligaciones de los proveedores de redes y servicios de comunicaciones, comercializadores, distribuidores o cualquier comerciante de equipos terminales móviles, resulta necesario </w:t>
            </w:r>
            <w:r w:rsidR="00D55138" w:rsidRPr="009B0F7D">
              <w:rPr>
                <w:rFonts w:ascii="Arial" w:hAnsi="Arial" w:cs="Arial"/>
              </w:rPr>
              <w:t xml:space="preserve">que el </w:t>
            </w:r>
            <w:r w:rsidR="24CDF138" w:rsidRPr="009B0F7D">
              <w:rPr>
                <w:rFonts w:ascii="Arial" w:hAnsi="Arial" w:cs="Arial"/>
              </w:rPr>
              <w:t xml:space="preserve">Estado, a través del </w:t>
            </w:r>
            <w:r w:rsidR="00D55138" w:rsidRPr="009B0F7D">
              <w:rPr>
                <w:rFonts w:ascii="Arial" w:hAnsi="Arial" w:cs="Arial"/>
              </w:rPr>
              <w:t xml:space="preserve">Ministerio </w:t>
            </w:r>
            <w:r w:rsidR="00AB2028" w:rsidRPr="009B0F7D">
              <w:rPr>
                <w:rFonts w:ascii="Arial" w:hAnsi="Arial" w:cs="Arial"/>
              </w:rPr>
              <w:t>simplifi</w:t>
            </w:r>
            <w:r w:rsidR="00A036CA" w:rsidRPr="009B0F7D">
              <w:rPr>
                <w:rFonts w:ascii="Arial" w:hAnsi="Arial" w:cs="Arial"/>
              </w:rPr>
              <w:t>que</w:t>
            </w:r>
            <w:r w:rsidR="00AB2028" w:rsidRPr="009B0F7D">
              <w:rPr>
                <w:rFonts w:ascii="Arial" w:hAnsi="Arial" w:cs="Arial"/>
              </w:rPr>
              <w:t xml:space="preserve"> las condiciones y características técnicas de la </w:t>
            </w:r>
            <w:r w:rsidR="00FB2F13" w:rsidRPr="009B0F7D">
              <w:rPr>
                <w:rFonts w:ascii="Arial" w:hAnsi="Arial" w:cs="Arial"/>
              </w:rPr>
              <w:t>BDA</w:t>
            </w:r>
            <w:r w:rsidR="00AB2028" w:rsidRPr="009B0F7D">
              <w:rPr>
                <w:rFonts w:ascii="Arial" w:hAnsi="Arial" w:cs="Arial"/>
              </w:rPr>
              <w:t xml:space="preserve"> positiva previstas en el </w:t>
            </w:r>
            <w:r w:rsidR="00A036CA" w:rsidRPr="009B0F7D">
              <w:rPr>
                <w:rFonts w:ascii="Arial" w:hAnsi="Arial" w:cs="Arial"/>
              </w:rPr>
              <w:t>D</w:t>
            </w:r>
            <w:r w:rsidR="00AB2028" w:rsidRPr="009B0F7D">
              <w:rPr>
                <w:rFonts w:ascii="Arial" w:hAnsi="Arial" w:cs="Arial"/>
              </w:rPr>
              <w:t>ecreto 1630 de 2011</w:t>
            </w:r>
            <w:r w:rsidR="00633F83" w:rsidRPr="009B0F7D">
              <w:rPr>
                <w:rFonts w:ascii="Arial" w:hAnsi="Arial" w:cs="Arial"/>
              </w:rPr>
              <w:t>, compilado en el Decreto 1078 de 2015</w:t>
            </w:r>
            <w:r w:rsidR="007D36C3" w:rsidRPr="009B0F7D">
              <w:rPr>
                <w:rFonts w:ascii="Arial" w:hAnsi="Arial" w:cs="Arial"/>
              </w:rPr>
              <w:t>.</w:t>
            </w:r>
          </w:p>
          <w:p w14:paraId="6915EF55" w14:textId="77777777" w:rsidR="004C1726" w:rsidRPr="009B0F7D" w:rsidRDefault="004C1726" w:rsidP="00535D6C">
            <w:pPr>
              <w:pStyle w:val="Listavistosa-nfasis11"/>
              <w:jc w:val="both"/>
              <w:rPr>
                <w:rFonts w:ascii="Arial" w:hAnsi="Arial" w:cs="Arial"/>
              </w:rPr>
            </w:pPr>
          </w:p>
          <w:p w14:paraId="0C433D24" w14:textId="5DEF5696" w:rsidR="00135308" w:rsidRPr="009B0F7D" w:rsidRDefault="0076288A">
            <w:pPr>
              <w:pStyle w:val="Listavistosa-nfasis11"/>
              <w:jc w:val="both"/>
              <w:rPr>
                <w:rFonts w:ascii="Arial" w:hAnsi="Arial" w:cs="Arial"/>
              </w:rPr>
            </w:pPr>
            <w:r w:rsidRPr="009B0F7D">
              <w:rPr>
                <w:rFonts w:ascii="Arial" w:hAnsi="Arial" w:cs="Arial"/>
              </w:rPr>
              <w:t>A</w:t>
            </w:r>
            <w:r w:rsidR="00BE1F46" w:rsidRPr="009B0F7D">
              <w:rPr>
                <w:rFonts w:ascii="Arial" w:hAnsi="Arial" w:cs="Arial"/>
              </w:rPr>
              <w:t xml:space="preserve">demás de lo anteriormente indicado, </w:t>
            </w:r>
            <w:r w:rsidR="00A978EB" w:rsidRPr="009B0F7D">
              <w:rPr>
                <w:rFonts w:ascii="Arial" w:hAnsi="Arial" w:cs="Arial"/>
              </w:rPr>
              <w:t xml:space="preserve">la </w:t>
            </w:r>
            <w:r w:rsidR="008B11C6" w:rsidRPr="009B0F7D">
              <w:rPr>
                <w:rFonts w:ascii="Arial" w:hAnsi="Arial" w:cs="Arial"/>
              </w:rPr>
              <w:t xml:space="preserve">modificación del </w:t>
            </w:r>
            <w:r w:rsidR="00A978EB" w:rsidRPr="009B0F7D">
              <w:rPr>
                <w:rFonts w:ascii="Arial" w:hAnsi="Arial" w:cs="Arial"/>
              </w:rPr>
              <w:t xml:space="preserve">Decreto 1078 </w:t>
            </w:r>
            <w:r w:rsidR="0010320B" w:rsidRPr="009B0F7D">
              <w:rPr>
                <w:rFonts w:ascii="Arial" w:hAnsi="Arial" w:cs="Arial"/>
              </w:rPr>
              <w:t xml:space="preserve">de 2015 </w:t>
            </w:r>
            <w:r w:rsidR="200121EE" w:rsidRPr="009B0F7D">
              <w:rPr>
                <w:rFonts w:ascii="Arial" w:hAnsi="Arial" w:cs="Arial"/>
              </w:rPr>
              <w:t>facultará a</w:t>
            </w:r>
            <w:r w:rsidR="0010320B" w:rsidRPr="009B0F7D">
              <w:rPr>
                <w:rFonts w:ascii="Arial" w:hAnsi="Arial" w:cs="Arial"/>
              </w:rPr>
              <w:t xml:space="preserve"> la CRC</w:t>
            </w:r>
            <w:r w:rsidR="6CB53906" w:rsidRPr="009B0F7D">
              <w:rPr>
                <w:rFonts w:ascii="Arial" w:hAnsi="Arial" w:cs="Arial"/>
              </w:rPr>
              <w:t xml:space="preserve"> para que</w:t>
            </w:r>
            <w:r w:rsidR="0010320B" w:rsidRPr="009B0F7D">
              <w:rPr>
                <w:rFonts w:ascii="Arial" w:hAnsi="Arial" w:cs="Arial"/>
              </w:rPr>
              <w:t xml:space="preserve"> realice los correspondientes ajustes en </w:t>
            </w:r>
            <w:r w:rsidR="005C6B74" w:rsidRPr="009B0F7D">
              <w:rPr>
                <w:rFonts w:ascii="Arial" w:hAnsi="Arial" w:cs="Arial"/>
              </w:rPr>
              <w:t xml:space="preserve">su regulación, materializados en el mencionado proyecto </w:t>
            </w:r>
            <w:r w:rsidR="005C6B74" w:rsidRPr="009B0F7D">
              <w:rPr>
                <w:rFonts w:ascii="Arial" w:hAnsi="Arial" w:cs="Arial"/>
                <w:i/>
                <w:iCs/>
              </w:rPr>
              <w:t>“Simplificación del marco regulatorio para la restricción de equipos terminales hurtados”</w:t>
            </w:r>
            <w:r w:rsidR="00E136FF" w:rsidRPr="009B0F7D">
              <w:rPr>
                <w:rFonts w:ascii="Arial" w:hAnsi="Arial" w:cs="Arial"/>
              </w:rPr>
              <w:t xml:space="preserve">, </w:t>
            </w:r>
            <w:r w:rsidR="00E87610" w:rsidRPr="009B0F7D">
              <w:rPr>
                <w:rFonts w:ascii="Arial" w:hAnsi="Arial" w:cs="Arial"/>
              </w:rPr>
              <w:t>normativ</w:t>
            </w:r>
            <w:r w:rsidR="2667B852" w:rsidRPr="009B0F7D">
              <w:rPr>
                <w:rFonts w:ascii="Arial" w:hAnsi="Arial" w:cs="Arial"/>
              </w:rPr>
              <w:t>a</w:t>
            </w:r>
            <w:r w:rsidR="00E87610" w:rsidRPr="009B0F7D">
              <w:rPr>
                <w:rFonts w:ascii="Arial" w:hAnsi="Arial" w:cs="Arial"/>
              </w:rPr>
              <w:t xml:space="preserve"> </w:t>
            </w:r>
            <w:r w:rsidR="00A7220D" w:rsidRPr="009B0F7D">
              <w:rPr>
                <w:rFonts w:ascii="Arial" w:hAnsi="Arial" w:cs="Arial"/>
              </w:rPr>
              <w:t xml:space="preserve">que </w:t>
            </w:r>
            <w:r w:rsidR="00E87610" w:rsidRPr="009B0F7D">
              <w:rPr>
                <w:rFonts w:ascii="Arial" w:hAnsi="Arial" w:cs="Arial"/>
              </w:rPr>
              <w:t>se espera sea expedida en el primer trimestre de 202</w:t>
            </w:r>
            <w:r w:rsidR="00553817" w:rsidRPr="009B0F7D">
              <w:rPr>
                <w:rFonts w:ascii="Arial" w:hAnsi="Arial" w:cs="Arial"/>
              </w:rPr>
              <w:t>3</w:t>
            </w:r>
            <w:r w:rsidR="00E87610" w:rsidRPr="009B0F7D">
              <w:rPr>
                <w:rFonts w:ascii="Arial" w:hAnsi="Arial" w:cs="Arial"/>
              </w:rPr>
              <w:t>.</w:t>
            </w:r>
          </w:p>
        </w:tc>
      </w:tr>
      <w:tr w:rsidR="00FF3437" w:rsidRPr="009B0F7D" w14:paraId="41C8F396" w14:textId="77777777" w:rsidTr="6E80773C">
        <w:trPr>
          <w:trHeight w:val="47"/>
        </w:trPr>
        <w:tc>
          <w:tcPr>
            <w:tcW w:w="10774" w:type="dxa"/>
            <w:gridSpan w:val="3"/>
            <w:shd w:val="clear" w:color="auto" w:fill="FFFFFF" w:themeFill="background1"/>
            <w:vAlign w:val="center"/>
          </w:tcPr>
          <w:p w14:paraId="0D0B940D" w14:textId="77777777" w:rsidR="00836EB8" w:rsidRPr="009B0F7D" w:rsidRDefault="00836EB8" w:rsidP="0075705D">
            <w:pPr>
              <w:jc w:val="both"/>
              <w:rPr>
                <w:lang w:eastAsia="es-CO"/>
              </w:rPr>
            </w:pPr>
          </w:p>
        </w:tc>
      </w:tr>
      <w:tr w:rsidR="00FF3437" w:rsidRPr="009B0F7D" w14:paraId="620CB7A2"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896C5A" w14:textId="77777777" w:rsidR="00DF60FD" w:rsidRPr="009B0F7D" w:rsidRDefault="000E1DFF" w:rsidP="00F25909">
            <w:pPr>
              <w:numPr>
                <w:ilvl w:val="0"/>
                <w:numId w:val="1"/>
              </w:numPr>
              <w:ind w:left="494"/>
              <w:rPr>
                <w:rFonts w:cs="Arial"/>
                <w:b/>
                <w:sz w:val="22"/>
                <w:szCs w:val="22"/>
              </w:rPr>
            </w:pPr>
            <w:r w:rsidRPr="009B0F7D">
              <w:rPr>
                <w:rFonts w:cs="Arial"/>
                <w:b/>
                <w:sz w:val="22"/>
                <w:szCs w:val="22"/>
              </w:rPr>
              <w:t>Á</w:t>
            </w:r>
            <w:r w:rsidR="00DF60FD" w:rsidRPr="009B0F7D">
              <w:rPr>
                <w:rFonts w:cs="Arial"/>
                <w:b/>
                <w:sz w:val="22"/>
                <w:szCs w:val="22"/>
              </w:rPr>
              <w:t>MBITO DE APLICACIÓN Y SUJETO</w:t>
            </w:r>
            <w:r w:rsidR="00795C6B" w:rsidRPr="009B0F7D">
              <w:rPr>
                <w:rFonts w:cs="Arial"/>
                <w:b/>
                <w:sz w:val="22"/>
                <w:szCs w:val="22"/>
              </w:rPr>
              <w:t>S</w:t>
            </w:r>
            <w:r w:rsidR="00DF60FD" w:rsidRPr="009B0F7D">
              <w:rPr>
                <w:rFonts w:cs="Arial"/>
                <w:b/>
                <w:sz w:val="22"/>
                <w:szCs w:val="22"/>
              </w:rPr>
              <w:t xml:space="preserve"> A QUIEN</w:t>
            </w:r>
            <w:r w:rsidR="00795C6B" w:rsidRPr="009B0F7D">
              <w:rPr>
                <w:rFonts w:cs="Arial"/>
                <w:b/>
                <w:sz w:val="22"/>
                <w:szCs w:val="22"/>
              </w:rPr>
              <w:t>ES</w:t>
            </w:r>
            <w:r w:rsidR="00DF60FD" w:rsidRPr="009B0F7D">
              <w:rPr>
                <w:rFonts w:cs="Arial"/>
                <w:b/>
                <w:sz w:val="22"/>
                <w:szCs w:val="22"/>
              </w:rPr>
              <w:t xml:space="preserve"> VA DIRIGIDO</w:t>
            </w:r>
          </w:p>
          <w:p w14:paraId="37CF2737" w14:textId="77777777" w:rsidR="00795C6B" w:rsidRPr="009B0F7D" w:rsidRDefault="00696582" w:rsidP="0075705D">
            <w:pPr>
              <w:pStyle w:val="Listavistosa-nfasis11"/>
              <w:spacing w:line="240" w:lineRule="auto"/>
              <w:ind w:left="494"/>
              <w:jc w:val="both"/>
              <w:rPr>
                <w:rFonts w:ascii="Arial" w:hAnsi="Arial" w:cs="Arial"/>
                <w:i/>
                <w:sz w:val="18"/>
              </w:rPr>
            </w:pPr>
            <w:r w:rsidRPr="009B0F7D">
              <w:rPr>
                <w:rFonts w:ascii="Arial" w:hAnsi="Arial" w:cs="Arial"/>
                <w:i/>
                <w:sz w:val="18"/>
              </w:rPr>
              <w:t xml:space="preserve"> </w:t>
            </w:r>
            <w:r w:rsidR="00795C6B" w:rsidRPr="009B0F7D">
              <w:rPr>
                <w:rFonts w:ascii="Arial" w:hAnsi="Arial" w:cs="Arial"/>
                <w:i/>
                <w:sz w:val="18"/>
              </w:rPr>
              <w:t>(Por favor indique el ámbito de aplicación o sujetos obligados de la norma)</w:t>
            </w:r>
          </w:p>
          <w:p w14:paraId="06DB82A0" w14:textId="769FBE7C" w:rsidR="00C04D85" w:rsidRPr="009B0F7D" w:rsidRDefault="00522B2B" w:rsidP="00541F4F">
            <w:pPr>
              <w:jc w:val="both"/>
              <w:rPr>
                <w:rFonts w:cs="Arial"/>
                <w:sz w:val="22"/>
                <w:szCs w:val="22"/>
                <w:lang w:val="es-CO" w:eastAsia="es-CO"/>
              </w:rPr>
            </w:pPr>
            <w:r w:rsidRPr="009B0F7D">
              <w:rPr>
                <w:rFonts w:cs="Arial"/>
                <w:sz w:val="22"/>
                <w:szCs w:val="22"/>
                <w:lang w:val="es-CO" w:eastAsia="es-CO"/>
              </w:rPr>
              <w:t xml:space="preserve">Esta propuesta aplica a los </w:t>
            </w:r>
            <w:r w:rsidR="00D97F13" w:rsidRPr="009B0F7D">
              <w:rPr>
                <w:rFonts w:cs="Arial"/>
                <w:sz w:val="22"/>
                <w:szCs w:val="22"/>
                <w:lang w:val="es-CO" w:eastAsia="es-CO"/>
              </w:rPr>
              <w:t>proveedores de redes y servicios de telecomunicaciones, a los importadores de equipos terminales móviles y a la ciuda</w:t>
            </w:r>
            <w:r w:rsidR="00D00788" w:rsidRPr="009B0F7D">
              <w:rPr>
                <w:rFonts w:cs="Arial"/>
                <w:sz w:val="22"/>
                <w:szCs w:val="22"/>
                <w:lang w:val="es-CO" w:eastAsia="es-CO"/>
              </w:rPr>
              <w:t>danía en general</w:t>
            </w:r>
            <w:r w:rsidR="00861BD9" w:rsidRPr="009B0F7D">
              <w:rPr>
                <w:rFonts w:cs="Arial"/>
                <w:sz w:val="22"/>
                <w:szCs w:val="22"/>
                <w:lang w:val="es-CO" w:eastAsia="es-CO"/>
              </w:rPr>
              <w:t>,</w:t>
            </w:r>
            <w:r w:rsidR="00D00788" w:rsidRPr="009B0F7D">
              <w:rPr>
                <w:rFonts w:cs="Arial"/>
                <w:sz w:val="22"/>
                <w:szCs w:val="22"/>
                <w:lang w:val="es-CO" w:eastAsia="es-CO"/>
              </w:rPr>
              <w:t xml:space="preserve"> en la medida en que deseen bajo la modalidad de servicios postales o como viajeros, ingresar equipos terminales móviles al país.</w:t>
            </w:r>
          </w:p>
          <w:p w14:paraId="0E27B00A" w14:textId="77777777" w:rsidR="00522B2B" w:rsidRPr="009B0F7D" w:rsidRDefault="00522B2B" w:rsidP="00C04D85">
            <w:pPr>
              <w:rPr>
                <w:rFonts w:cs="Arial"/>
                <w:iCs/>
                <w:sz w:val="22"/>
                <w:szCs w:val="22"/>
              </w:rPr>
            </w:pPr>
          </w:p>
        </w:tc>
      </w:tr>
      <w:tr w:rsidR="00FF3437" w:rsidRPr="009B0F7D" w14:paraId="10EC636E" w14:textId="77777777" w:rsidTr="6E80773C">
        <w:trPr>
          <w:trHeight w:val="278"/>
        </w:trPr>
        <w:tc>
          <w:tcPr>
            <w:tcW w:w="10774" w:type="dxa"/>
            <w:gridSpan w:val="3"/>
            <w:tcBorders>
              <w:bottom w:val="single" w:sz="4" w:space="0" w:color="auto"/>
            </w:tcBorders>
            <w:shd w:val="clear" w:color="auto" w:fill="FFFFFF" w:themeFill="background1"/>
            <w:vAlign w:val="center"/>
          </w:tcPr>
          <w:p w14:paraId="2384BB05" w14:textId="77777777" w:rsidR="00DF60FD" w:rsidRPr="009B0F7D" w:rsidRDefault="00795C6B" w:rsidP="0075705D">
            <w:pPr>
              <w:ind w:left="494" w:hanging="283"/>
              <w:rPr>
                <w:rFonts w:cs="Arial"/>
                <w:b/>
                <w:sz w:val="22"/>
                <w:szCs w:val="22"/>
              </w:rPr>
            </w:pPr>
            <w:r w:rsidRPr="009B0F7D">
              <w:rPr>
                <w:rFonts w:cs="Arial"/>
                <w:b/>
                <w:sz w:val="22"/>
                <w:szCs w:val="22"/>
              </w:rPr>
              <w:t xml:space="preserve">3. </w:t>
            </w:r>
            <w:r w:rsidR="00DF60FD" w:rsidRPr="009B0F7D">
              <w:rPr>
                <w:rFonts w:cs="Arial"/>
                <w:b/>
                <w:sz w:val="22"/>
                <w:szCs w:val="22"/>
              </w:rPr>
              <w:t>VIABILIDAD JURÍDICA</w:t>
            </w:r>
          </w:p>
          <w:p w14:paraId="62D48FC5" w14:textId="77777777" w:rsidR="00D05B67" w:rsidRPr="009B0F7D" w:rsidRDefault="00D05B67" w:rsidP="0075705D">
            <w:pPr>
              <w:ind w:left="494" w:hanging="283"/>
              <w:rPr>
                <w:rFonts w:cs="Arial"/>
                <w:i/>
                <w:sz w:val="18"/>
                <w:szCs w:val="22"/>
              </w:rPr>
            </w:pPr>
            <w:r w:rsidRPr="009B0F7D">
              <w:rPr>
                <w:rFonts w:cs="Arial"/>
                <w:i/>
                <w:sz w:val="18"/>
                <w:szCs w:val="22"/>
              </w:rPr>
              <w:t>(Por favor desarrolle cada uno de los siguientes puntos)</w:t>
            </w:r>
          </w:p>
          <w:p w14:paraId="60061E4C" w14:textId="77777777" w:rsidR="00D05B67" w:rsidRPr="009B0F7D" w:rsidRDefault="00D05B67" w:rsidP="0075705D">
            <w:pPr>
              <w:ind w:left="494" w:hanging="283"/>
              <w:rPr>
                <w:rFonts w:cs="Arial"/>
                <w:i/>
                <w:sz w:val="22"/>
                <w:szCs w:val="22"/>
              </w:rPr>
            </w:pPr>
          </w:p>
          <w:p w14:paraId="4B8B2572" w14:textId="77777777" w:rsidR="00795C6B" w:rsidRPr="009B0F7D" w:rsidRDefault="00795C6B" w:rsidP="0075705D">
            <w:pPr>
              <w:ind w:left="494" w:hanging="283"/>
              <w:jc w:val="both"/>
              <w:rPr>
                <w:rFonts w:cs="Arial"/>
                <w:sz w:val="22"/>
                <w:szCs w:val="22"/>
                <w:lang w:val="es-CO" w:eastAsia="es-CO"/>
              </w:rPr>
            </w:pPr>
            <w:r w:rsidRPr="009B0F7D">
              <w:rPr>
                <w:rFonts w:cs="Arial"/>
                <w:sz w:val="22"/>
                <w:szCs w:val="22"/>
                <w:lang w:val="es-CO" w:eastAsia="es-CO"/>
              </w:rPr>
              <w:t>3.1 Análisis de las normas que otorgan la competencia para la expedición del proyecto normativo</w:t>
            </w:r>
          </w:p>
          <w:p w14:paraId="44EAFD9C" w14:textId="77777777" w:rsidR="00102D5D" w:rsidRPr="009B0F7D" w:rsidRDefault="00102D5D" w:rsidP="0075705D">
            <w:pPr>
              <w:ind w:left="494" w:hanging="283"/>
              <w:jc w:val="both"/>
              <w:rPr>
                <w:rFonts w:cs="Arial"/>
                <w:sz w:val="22"/>
                <w:szCs w:val="22"/>
                <w:lang w:val="es-CO" w:eastAsia="es-CO"/>
              </w:rPr>
            </w:pPr>
          </w:p>
          <w:p w14:paraId="08F02BBF" w14:textId="77777777" w:rsidR="00F21CAC" w:rsidRPr="009B0F7D" w:rsidRDefault="00F21CAC" w:rsidP="00F21CAC">
            <w:pPr>
              <w:rPr>
                <w:rFonts w:cs="Arial"/>
                <w:sz w:val="22"/>
              </w:rPr>
            </w:pPr>
            <w:r w:rsidRPr="009B0F7D">
              <w:rPr>
                <w:rFonts w:cs="Arial"/>
                <w:sz w:val="22"/>
              </w:rPr>
              <w:t>La reglamentación que otorga la competencia para la expedición del acto administrativo está contenida en las siguientes normas:</w:t>
            </w:r>
          </w:p>
          <w:p w14:paraId="4B94D5A5" w14:textId="77777777" w:rsidR="00F21CAC" w:rsidRPr="009B0F7D" w:rsidRDefault="00F21CAC" w:rsidP="00F21CAC">
            <w:pPr>
              <w:rPr>
                <w:rFonts w:cs="Arial"/>
                <w:sz w:val="22"/>
              </w:rPr>
            </w:pPr>
          </w:p>
          <w:p w14:paraId="3DEEC669" w14:textId="0BE7B0E0" w:rsidR="00F21CAC" w:rsidRPr="009B0F7D" w:rsidRDefault="00252C06" w:rsidP="00252C06">
            <w:pPr>
              <w:pStyle w:val="Prrafodelista"/>
              <w:numPr>
                <w:ilvl w:val="0"/>
                <w:numId w:val="8"/>
              </w:numPr>
              <w:jc w:val="both"/>
              <w:rPr>
                <w:rFonts w:cs="Arial"/>
                <w:sz w:val="22"/>
                <w:szCs w:val="22"/>
                <w:lang w:val="es-CO" w:eastAsia="es-CO"/>
              </w:rPr>
            </w:pPr>
            <w:r w:rsidRPr="009B0F7D">
              <w:rPr>
                <w:rFonts w:cs="Arial"/>
                <w:sz w:val="22"/>
                <w:szCs w:val="22"/>
                <w:lang w:val="es-CO" w:eastAsia="es-CO"/>
              </w:rPr>
              <w:t>El numeral 11 del artículo 189 de Constitución Política</w:t>
            </w:r>
            <w:r w:rsidR="001D3D7F" w:rsidRPr="009B0F7D">
              <w:rPr>
                <w:rFonts w:cs="Arial"/>
                <w:sz w:val="22"/>
                <w:szCs w:val="22"/>
                <w:lang w:val="es-CO" w:eastAsia="es-CO"/>
              </w:rPr>
              <w:t>, que</w:t>
            </w:r>
            <w:r w:rsidRPr="009B0F7D">
              <w:rPr>
                <w:rFonts w:cs="Arial"/>
                <w:sz w:val="22"/>
                <w:szCs w:val="22"/>
                <w:lang w:val="es-CO" w:eastAsia="es-CO"/>
              </w:rPr>
              <w:t xml:space="preserve"> establece que </w:t>
            </w:r>
            <w:r w:rsidR="00497B3E" w:rsidRPr="009B0F7D">
              <w:rPr>
                <w:rFonts w:cs="Arial"/>
                <w:sz w:val="22"/>
                <w:szCs w:val="22"/>
                <w:lang w:val="es-CO" w:eastAsia="es-CO"/>
              </w:rPr>
              <w:t xml:space="preserve">corresponde al </w:t>
            </w:r>
            <w:bookmarkStart w:id="0" w:name="_Int_FOZxEkVv"/>
            <w:r w:rsidR="00497B3E" w:rsidRPr="009B0F7D">
              <w:rPr>
                <w:rFonts w:cs="Arial"/>
                <w:sz w:val="22"/>
                <w:szCs w:val="22"/>
                <w:lang w:val="es-CO" w:eastAsia="es-CO"/>
              </w:rPr>
              <w:t>Presidente</w:t>
            </w:r>
            <w:bookmarkEnd w:id="0"/>
            <w:r w:rsidR="00497B3E" w:rsidRPr="009B0F7D">
              <w:rPr>
                <w:rFonts w:cs="Arial"/>
                <w:sz w:val="22"/>
                <w:szCs w:val="22"/>
                <w:lang w:val="es-CO" w:eastAsia="es-CO"/>
              </w:rPr>
              <w:t xml:space="preserve"> de la República como </w:t>
            </w:r>
            <w:bookmarkStart w:id="1" w:name="_Int_iInFuXnm"/>
            <w:r w:rsidR="00497B3E" w:rsidRPr="009B0F7D">
              <w:rPr>
                <w:rFonts w:cs="Arial"/>
                <w:sz w:val="22"/>
                <w:szCs w:val="22"/>
                <w:lang w:val="es-CO" w:eastAsia="es-CO"/>
              </w:rPr>
              <w:t>Jefe</w:t>
            </w:r>
            <w:bookmarkEnd w:id="1"/>
            <w:r w:rsidR="00497B3E" w:rsidRPr="009B0F7D">
              <w:rPr>
                <w:rFonts w:cs="Arial"/>
                <w:sz w:val="22"/>
                <w:szCs w:val="22"/>
                <w:lang w:val="es-CO" w:eastAsia="es-CO"/>
              </w:rPr>
              <w:t xml:space="preserve"> de Estado, </w:t>
            </w:r>
            <w:bookmarkStart w:id="2" w:name="_Int_Ojc7kbH8"/>
            <w:r w:rsidR="00497B3E" w:rsidRPr="009B0F7D">
              <w:rPr>
                <w:rFonts w:cs="Arial"/>
                <w:sz w:val="22"/>
                <w:szCs w:val="22"/>
                <w:lang w:val="es-CO" w:eastAsia="es-CO"/>
              </w:rPr>
              <w:t>Jefe</w:t>
            </w:r>
            <w:bookmarkEnd w:id="2"/>
            <w:r w:rsidR="00497B3E" w:rsidRPr="009B0F7D">
              <w:rPr>
                <w:rFonts w:cs="Arial"/>
                <w:sz w:val="22"/>
                <w:szCs w:val="22"/>
                <w:lang w:val="es-CO" w:eastAsia="es-CO"/>
              </w:rPr>
              <w:t xml:space="preserve"> del Gobierno y Suprema Autoridad Administrativa, </w:t>
            </w:r>
            <w:r w:rsidR="00496DE2" w:rsidRPr="009B0F7D">
              <w:rPr>
                <w:rFonts w:cs="Arial"/>
                <w:sz w:val="22"/>
                <w:szCs w:val="22"/>
                <w:lang w:val="es-CO" w:eastAsia="es-CO"/>
              </w:rPr>
              <w:t>ejercer la potestad reglamentaria, mediante la expedición de los decretos, resoluciones y órdenes necesarios para la cumplida ejecución de las leyes.</w:t>
            </w:r>
          </w:p>
          <w:p w14:paraId="571888C0" w14:textId="77777777" w:rsidR="00EB06E5" w:rsidRPr="009B0F7D" w:rsidRDefault="00EB06E5" w:rsidP="00EB06E5">
            <w:pPr>
              <w:jc w:val="both"/>
              <w:rPr>
                <w:rFonts w:cs="Arial"/>
                <w:sz w:val="22"/>
                <w:szCs w:val="22"/>
                <w:lang w:val="es-CO" w:eastAsia="es-CO"/>
              </w:rPr>
            </w:pPr>
          </w:p>
          <w:p w14:paraId="788987C9" w14:textId="77777777" w:rsidR="00EB06E5" w:rsidRPr="009B0F7D" w:rsidRDefault="00EB06E5" w:rsidP="00EB06E5">
            <w:pPr>
              <w:jc w:val="both"/>
              <w:rPr>
                <w:rFonts w:cs="Arial"/>
                <w:sz w:val="22"/>
                <w:szCs w:val="22"/>
                <w:lang w:val="es-CO" w:eastAsia="es-CO"/>
              </w:rPr>
            </w:pPr>
          </w:p>
          <w:p w14:paraId="6E6CB1C6" w14:textId="77777777" w:rsidR="00795C6B" w:rsidRPr="009B0F7D" w:rsidRDefault="00795C6B" w:rsidP="0075705D">
            <w:pPr>
              <w:ind w:left="494" w:hanging="283"/>
              <w:jc w:val="both"/>
              <w:rPr>
                <w:rFonts w:cs="Arial"/>
                <w:sz w:val="22"/>
                <w:szCs w:val="22"/>
                <w:lang w:val="es-CO" w:eastAsia="es-CO"/>
              </w:rPr>
            </w:pPr>
            <w:r w:rsidRPr="009B0F7D">
              <w:rPr>
                <w:rFonts w:cs="Arial"/>
                <w:sz w:val="22"/>
                <w:szCs w:val="22"/>
                <w:lang w:val="es-CO" w:eastAsia="es-CO"/>
              </w:rPr>
              <w:t>3.2 Vigencia de la ley o norma reglamentada o desarrollada</w:t>
            </w:r>
          </w:p>
          <w:p w14:paraId="3656B9AB" w14:textId="77777777" w:rsidR="006463F5" w:rsidRPr="009B0F7D" w:rsidRDefault="006463F5" w:rsidP="006463F5">
            <w:pPr>
              <w:jc w:val="both"/>
              <w:rPr>
                <w:rFonts w:cs="Arial"/>
                <w:sz w:val="24"/>
                <w:szCs w:val="22"/>
                <w:lang w:val="es-CO" w:eastAsia="es-CO"/>
              </w:rPr>
            </w:pPr>
          </w:p>
          <w:p w14:paraId="53128261" w14:textId="70644C5B" w:rsidR="006E4F20" w:rsidRPr="009B0F7D" w:rsidRDefault="00574AD3" w:rsidP="75EF3542">
            <w:pPr>
              <w:ind w:left="211"/>
              <w:jc w:val="both"/>
              <w:rPr>
                <w:rFonts w:cs="Arial"/>
                <w:sz w:val="22"/>
                <w:szCs w:val="22"/>
              </w:rPr>
            </w:pPr>
            <w:r w:rsidRPr="009B0F7D">
              <w:rPr>
                <w:rFonts w:cs="Arial"/>
                <w:sz w:val="22"/>
                <w:szCs w:val="22"/>
              </w:rPr>
              <w:t>Las disposiciones de la Ley 1341 de 2009, modificada en algunos apartes por la Ley 1978 de 2019 que sustentan la expedición de</w:t>
            </w:r>
            <w:r w:rsidR="00854BA5" w:rsidRPr="009B0F7D">
              <w:rPr>
                <w:rFonts w:cs="Arial"/>
                <w:sz w:val="22"/>
                <w:szCs w:val="22"/>
              </w:rPr>
              <w:t>l</w:t>
            </w:r>
            <w:r w:rsidR="160E15C6" w:rsidRPr="009B0F7D">
              <w:rPr>
                <w:rFonts w:cs="Arial"/>
                <w:sz w:val="22"/>
                <w:szCs w:val="22"/>
              </w:rPr>
              <w:t xml:space="preserve"> </w:t>
            </w:r>
            <w:r w:rsidRPr="009B0F7D">
              <w:rPr>
                <w:rFonts w:cs="Arial"/>
                <w:sz w:val="22"/>
                <w:szCs w:val="22"/>
              </w:rPr>
              <w:t>proyecto normativo se encuentran actualmente vigentes y no han tenido limitaciones vía jurisprudencia</w:t>
            </w:r>
            <w:r w:rsidR="00B63A61" w:rsidRPr="009B0F7D">
              <w:rPr>
                <w:rFonts w:cs="Arial"/>
                <w:sz w:val="22"/>
                <w:szCs w:val="22"/>
              </w:rPr>
              <w:t>.</w:t>
            </w:r>
          </w:p>
          <w:p w14:paraId="62486C05" w14:textId="77777777" w:rsidR="00574AD3" w:rsidRPr="009B0F7D" w:rsidRDefault="00574AD3" w:rsidP="00574AD3">
            <w:pPr>
              <w:ind w:left="211"/>
              <w:jc w:val="both"/>
              <w:rPr>
                <w:rFonts w:cs="Arial"/>
                <w:sz w:val="22"/>
              </w:rPr>
            </w:pPr>
          </w:p>
          <w:p w14:paraId="671AC3FB" w14:textId="77777777" w:rsidR="00795C6B" w:rsidRPr="009B0F7D" w:rsidRDefault="00795C6B" w:rsidP="00574AD3">
            <w:pPr>
              <w:ind w:left="211"/>
              <w:jc w:val="both"/>
              <w:rPr>
                <w:rFonts w:cs="Arial"/>
                <w:sz w:val="22"/>
                <w:szCs w:val="22"/>
                <w:lang w:val="es-CO" w:eastAsia="es-CO"/>
              </w:rPr>
            </w:pPr>
            <w:r w:rsidRPr="009B0F7D">
              <w:rPr>
                <w:rFonts w:cs="Arial"/>
                <w:sz w:val="22"/>
                <w:szCs w:val="22"/>
                <w:lang w:val="es-CO" w:eastAsia="es-CO"/>
              </w:rPr>
              <w:t>3.3. Disposiciones deroga</w:t>
            </w:r>
            <w:r w:rsidR="00AD4A7F" w:rsidRPr="009B0F7D">
              <w:rPr>
                <w:rFonts w:cs="Arial"/>
                <w:sz w:val="22"/>
                <w:szCs w:val="22"/>
                <w:lang w:val="es-CO" w:eastAsia="es-CO"/>
              </w:rPr>
              <w:t>da</w:t>
            </w:r>
            <w:r w:rsidRPr="009B0F7D">
              <w:rPr>
                <w:rFonts w:cs="Arial"/>
                <w:sz w:val="22"/>
                <w:szCs w:val="22"/>
                <w:lang w:val="es-CO" w:eastAsia="es-CO"/>
              </w:rPr>
              <w:t>s, subrogadas, modificadas, adicionadas</w:t>
            </w:r>
            <w:r w:rsidR="00D05B67" w:rsidRPr="009B0F7D">
              <w:rPr>
                <w:rFonts w:cs="Arial"/>
                <w:sz w:val="22"/>
                <w:szCs w:val="22"/>
                <w:lang w:val="es-CO" w:eastAsia="es-CO"/>
              </w:rPr>
              <w:t xml:space="preserve"> o sustituidas </w:t>
            </w:r>
          </w:p>
          <w:p w14:paraId="4101652C" w14:textId="77777777" w:rsidR="00AD4A7F" w:rsidRPr="009B0F7D" w:rsidRDefault="00AD4A7F" w:rsidP="00AD4A7F">
            <w:pPr>
              <w:jc w:val="both"/>
              <w:rPr>
                <w:rFonts w:cs="Arial"/>
                <w:sz w:val="22"/>
                <w:szCs w:val="22"/>
                <w:lang w:val="es-CO" w:eastAsia="es-CO"/>
              </w:rPr>
            </w:pPr>
          </w:p>
          <w:p w14:paraId="1299C43A" w14:textId="636226A9" w:rsidR="00574AD3" w:rsidRPr="009B0F7D" w:rsidRDefault="009D171E" w:rsidP="75EF3542">
            <w:pPr>
              <w:jc w:val="both"/>
              <w:rPr>
                <w:rFonts w:cs="Arial"/>
                <w:sz w:val="22"/>
                <w:szCs w:val="22"/>
              </w:rPr>
            </w:pPr>
            <w:r w:rsidRPr="009B0F7D">
              <w:rPr>
                <w:rFonts w:cs="Arial"/>
                <w:sz w:val="22"/>
                <w:szCs w:val="22"/>
              </w:rPr>
              <w:t xml:space="preserve">Se subroga el Título 11 de la </w:t>
            </w:r>
            <w:r w:rsidR="00386FC1" w:rsidRPr="009B0F7D">
              <w:rPr>
                <w:rFonts w:cs="Arial"/>
                <w:sz w:val="22"/>
                <w:szCs w:val="22"/>
              </w:rPr>
              <w:t xml:space="preserve">Parte </w:t>
            </w:r>
            <w:r w:rsidRPr="009B0F7D">
              <w:rPr>
                <w:rFonts w:cs="Arial"/>
                <w:sz w:val="22"/>
                <w:szCs w:val="22"/>
              </w:rPr>
              <w:t>2 del Libro 2 del Decreto 1078 de 2015</w:t>
            </w:r>
            <w:r w:rsidR="00733D5E" w:rsidRPr="009B0F7D">
              <w:rPr>
                <w:rFonts w:cs="Arial"/>
                <w:sz w:val="22"/>
                <w:szCs w:val="22"/>
              </w:rPr>
              <w:t>.</w:t>
            </w:r>
          </w:p>
          <w:p w14:paraId="52F54450" w14:textId="264A96BE" w:rsidR="00733D5E" w:rsidRPr="009B0F7D" w:rsidRDefault="00733D5E" w:rsidP="75EF3542">
            <w:pPr>
              <w:jc w:val="both"/>
              <w:rPr>
                <w:rFonts w:cs="Arial"/>
                <w:sz w:val="22"/>
                <w:szCs w:val="22"/>
              </w:rPr>
            </w:pPr>
          </w:p>
          <w:p w14:paraId="7DB1EAAA" w14:textId="77777777" w:rsidR="00D05B67" w:rsidRPr="009B0F7D" w:rsidRDefault="00D05B67" w:rsidP="0075705D">
            <w:pPr>
              <w:ind w:left="494" w:hanging="283"/>
              <w:jc w:val="both"/>
              <w:rPr>
                <w:rFonts w:cs="Arial"/>
                <w:sz w:val="22"/>
                <w:szCs w:val="22"/>
                <w:lang w:val="es-CO" w:eastAsia="es-CO"/>
              </w:rPr>
            </w:pPr>
            <w:r w:rsidRPr="009B0F7D">
              <w:rPr>
                <w:rFonts w:cs="Arial"/>
                <w:sz w:val="22"/>
                <w:szCs w:val="22"/>
                <w:lang w:val="es-CO" w:eastAsia="es-CO"/>
              </w:rPr>
              <w:t>3.4 Revisión y análisis de la jurisprudencia que tenga impacto o sea relevante para la expedición del proyecto normativo (órganos de cierre de cada jurisdicción)</w:t>
            </w:r>
          </w:p>
          <w:p w14:paraId="4DDBEF00" w14:textId="77777777" w:rsidR="00C41CCA" w:rsidRPr="009B0F7D" w:rsidRDefault="00C41CCA" w:rsidP="00C41CCA">
            <w:pPr>
              <w:jc w:val="both"/>
              <w:rPr>
                <w:rFonts w:cs="Arial"/>
                <w:sz w:val="22"/>
                <w:szCs w:val="22"/>
                <w:lang w:val="es-CO" w:eastAsia="es-CO"/>
              </w:rPr>
            </w:pPr>
          </w:p>
          <w:p w14:paraId="146E8121" w14:textId="77777777" w:rsidR="00C41CCA" w:rsidRPr="009B0F7D" w:rsidRDefault="00C41CCA" w:rsidP="00C41CCA">
            <w:pPr>
              <w:jc w:val="both"/>
              <w:rPr>
                <w:rFonts w:cs="Arial"/>
                <w:sz w:val="18"/>
              </w:rPr>
            </w:pPr>
            <w:r w:rsidRPr="009B0F7D">
              <w:rPr>
                <w:rFonts w:cs="Arial"/>
                <w:sz w:val="18"/>
              </w:rPr>
              <w:t>NA</w:t>
            </w:r>
          </w:p>
          <w:p w14:paraId="3461D779" w14:textId="77777777" w:rsidR="00D05B67" w:rsidRPr="009B0F7D" w:rsidRDefault="00D05B67" w:rsidP="0075705D">
            <w:pPr>
              <w:ind w:left="494" w:hanging="283"/>
              <w:jc w:val="both"/>
              <w:rPr>
                <w:rFonts w:cs="Arial"/>
                <w:sz w:val="22"/>
                <w:szCs w:val="22"/>
                <w:lang w:val="es-CO" w:eastAsia="es-CO"/>
              </w:rPr>
            </w:pPr>
          </w:p>
          <w:p w14:paraId="66CDA5EA" w14:textId="77777777" w:rsidR="00D05B67" w:rsidRPr="009B0F7D" w:rsidRDefault="00D05B67" w:rsidP="0075705D">
            <w:pPr>
              <w:ind w:left="494" w:hanging="283"/>
              <w:jc w:val="both"/>
              <w:rPr>
                <w:rFonts w:cs="Arial"/>
                <w:sz w:val="22"/>
                <w:szCs w:val="22"/>
                <w:lang w:val="es-CO" w:eastAsia="es-CO"/>
              </w:rPr>
            </w:pPr>
            <w:r w:rsidRPr="009B0F7D">
              <w:rPr>
                <w:rFonts w:cs="Arial"/>
                <w:sz w:val="22"/>
                <w:szCs w:val="22"/>
                <w:lang w:val="es-CO" w:eastAsia="es-CO"/>
              </w:rPr>
              <w:t xml:space="preserve">3.5 Circunstancias jurídicas adicionales </w:t>
            </w:r>
          </w:p>
          <w:p w14:paraId="3CF2D8B6" w14:textId="77777777" w:rsidR="00E54757" w:rsidRPr="009B0F7D" w:rsidRDefault="00E54757" w:rsidP="00C41CCA">
            <w:pPr>
              <w:jc w:val="both"/>
              <w:rPr>
                <w:rFonts w:cs="Arial"/>
                <w:sz w:val="18"/>
              </w:rPr>
            </w:pPr>
          </w:p>
          <w:p w14:paraId="0E95CDC1" w14:textId="77777777" w:rsidR="00C41CCA" w:rsidRPr="009B0F7D" w:rsidRDefault="00C41CCA" w:rsidP="00C41CCA">
            <w:pPr>
              <w:jc w:val="both"/>
              <w:rPr>
                <w:rFonts w:cs="Arial"/>
                <w:sz w:val="18"/>
              </w:rPr>
            </w:pPr>
            <w:r w:rsidRPr="009B0F7D">
              <w:rPr>
                <w:rFonts w:cs="Arial"/>
                <w:sz w:val="18"/>
              </w:rPr>
              <w:t>NA</w:t>
            </w:r>
          </w:p>
          <w:p w14:paraId="0FB78278" w14:textId="77777777" w:rsidR="00E54757" w:rsidRPr="009B0F7D" w:rsidRDefault="00E54757" w:rsidP="00C41CCA">
            <w:pPr>
              <w:jc w:val="both"/>
              <w:rPr>
                <w:rFonts w:cs="Arial"/>
                <w:sz w:val="18"/>
              </w:rPr>
            </w:pPr>
          </w:p>
          <w:p w14:paraId="1FC39945" w14:textId="77777777" w:rsidR="00795C6B" w:rsidRPr="009B0F7D" w:rsidRDefault="00795C6B" w:rsidP="00E54757">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FF3437" w:rsidRPr="009B0F7D" w14:paraId="7965B0AA" w14:textId="77777777" w:rsidTr="6E80773C">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CB0E" w14:textId="77777777" w:rsidR="00843EFF" w:rsidRPr="009B0F7D" w:rsidRDefault="00843EFF" w:rsidP="00A161B9">
            <w:pPr>
              <w:rPr>
                <w:rFonts w:cs="Arial"/>
                <w:b/>
                <w:sz w:val="22"/>
                <w:szCs w:val="22"/>
              </w:rPr>
            </w:pPr>
          </w:p>
          <w:p w14:paraId="551203CE" w14:textId="77777777" w:rsidR="00DF60FD" w:rsidRPr="009B0F7D" w:rsidRDefault="00DF60FD" w:rsidP="00F25909">
            <w:pPr>
              <w:numPr>
                <w:ilvl w:val="0"/>
                <w:numId w:val="2"/>
              </w:numPr>
              <w:rPr>
                <w:rFonts w:cs="Arial"/>
                <w:b/>
                <w:sz w:val="22"/>
                <w:szCs w:val="22"/>
              </w:rPr>
            </w:pPr>
            <w:r w:rsidRPr="009B0F7D">
              <w:rPr>
                <w:rFonts w:cs="Arial"/>
                <w:b/>
                <w:sz w:val="22"/>
                <w:szCs w:val="22"/>
              </w:rPr>
              <w:t xml:space="preserve">IMPACTO ECONÓMICO </w:t>
            </w:r>
            <w:r w:rsidR="00D05B67" w:rsidRPr="009B0F7D">
              <w:rPr>
                <w:rFonts w:cs="Arial"/>
                <w:sz w:val="22"/>
                <w:szCs w:val="22"/>
              </w:rPr>
              <w:t>(Si se requiere)</w:t>
            </w:r>
          </w:p>
          <w:p w14:paraId="06BED172" w14:textId="77777777" w:rsidR="00E90330" w:rsidRPr="009B0F7D" w:rsidRDefault="00795C6B" w:rsidP="00EA5213">
            <w:pPr>
              <w:pStyle w:val="Listavistosa-nfasis11"/>
              <w:jc w:val="both"/>
              <w:rPr>
                <w:rFonts w:ascii="Arial" w:hAnsi="Arial" w:cs="Arial"/>
                <w:i/>
                <w:sz w:val="18"/>
              </w:rPr>
            </w:pPr>
            <w:r w:rsidRPr="009B0F7D">
              <w:rPr>
                <w:rFonts w:ascii="Arial" w:hAnsi="Arial" w:cs="Arial"/>
                <w:i/>
                <w:sz w:val="18"/>
              </w:rPr>
              <w:t>(Por favor señale el costo o ahorro de la implementación del acto administrativo)</w:t>
            </w:r>
          </w:p>
          <w:p w14:paraId="1B043E0D" w14:textId="77777777" w:rsidR="00EE7FC3" w:rsidRPr="009B0F7D" w:rsidRDefault="00EE7FC3" w:rsidP="00EA5213">
            <w:pPr>
              <w:pStyle w:val="Listavistosa-nfasis11"/>
              <w:jc w:val="both"/>
              <w:rPr>
                <w:rFonts w:ascii="Arial" w:hAnsi="Arial" w:cs="Arial"/>
                <w:i/>
                <w:sz w:val="18"/>
              </w:rPr>
            </w:pPr>
          </w:p>
          <w:p w14:paraId="7E1946B4" w14:textId="11394B24" w:rsidR="00E7742F" w:rsidRPr="009B0F7D" w:rsidRDefault="00AA197B" w:rsidP="001330DA">
            <w:pPr>
              <w:pStyle w:val="Listavistosa-nfasis11"/>
              <w:jc w:val="both"/>
              <w:rPr>
                <w:rFonts w:ascii="Arial" w:hAnsi="Arial" w:cs="Arial"/>
              </w:rPr>
            </w:pPr>
            <w:r w:rsidRPr="009B0F7D">
              <w:rPr>
                <w:rFonts w:ascii="Arial" w:hAnsi="Arial" w:cs="Arial"/>
              </w:rPr>
              <w:t xml:space="preserve">Con la implementación de este acto administrativo, </w:t>
            </w:r>
            <w:r w:rsidR="72B616EA" w:rsidRPr="009B0F7D">
              <w:rPr>
                <w:rFonts w:ascii="Arial" w:hAnsi="Arial" w:cs="Arial"/>
              </w:rPr>
              <w:t xml:space="preserve">se faculta a </w:t>
            </w:r>
            <w:r w:rsidRPr="009B0F7D">
              <w:rPr>
                <w:rFonts w:ascii="Arial" w:hAnsi="Arial" w:cs="Arial"/>
              </w:rPr>
              <w:t>la Comisión de Regulación de Comunicaciones</w:t>
            </w:r>
            <w:r w:rsidR="005943D0" w:rsidRPr="009B0F7D">
              <w:rPr>
                <w:rFonts w:ascii="Arial" w:hAnsi="Arial" w:cs="Arial"/>
              </w:rPr>
              <w:t xml:space="preserve"> </w:t>
            </w:r>
            <w:r w:rsidR="68996D96" w:rsidRPr="009B0F7D">
              <w:rPr>
                <w:rFonts w:ascii="Arial" w:hAnsi="Arial" w:cs="Arial"/>
              </w:rPr>
              <w:t xml:space="preserve">para </w:t>
            </w:r>
            <w:r w:rsidR="00352200" w:rsidRPr="009B0F7D">
              <w:rPr>
                <w:rFonts w:ascii="Arial" w:hAnsi="Arial" w:cs="Arial"/>
              </w:rPr>
              <w:t>expedir la normativ</w:t>
            </w:r>
            <w:r w:rsidR="699BBFDA" w:rsidRPr="009B0F7D">
              <w:rPr>
                <w:rFonts w:ascii="Arial" w:hAnsi="Arial" w:cs="Arial"/>
              </w:rPr>
              <w:t>a</w:t>
            </w:r>
            <w:r w:rsidR="00352200" w:rsidRPr="009B0F7D">
              <w:rPr>
                <w:rFonts w:ascii="Arial" w:hAnsi="Arial" w:cs="Arial"/>
              </w:rPr>
              <w:t xml:space="preserve"> resultante de</w:t>
            </w:r>
            <w:r w:rsidR="005943D0" w:rsidRPr="009B0F7D">
              <w:rPr>
                <w:rFonts w:ascii="Arial" w:hAnsi="Arial" w:cs="Arial"/>
              </w:rPr>
              <w:t xml:space="preserve"> la propuesta regulatoria de “</w:t>
            </w:r>
            <w:r w:rsidR="005943D0" w:rsidRPr="009B0F7D">
              <w:rPr>
                <w:rFonts w:ascii="Arial" w:hAnsi="Arial" w:cs="Arial"/>
                <w:i/>
                <w:iCs/>
              </w:rPr>
              <w:t>Simplificación del marco regulatorio para la restricción de equipos terminales hurtados”</w:t>
            </w:r>
            <w:r w:rsidRPr="009B0F7D">
              <w:rPr>
                <w:rFonts w:ascii="Arial" w:hAnsi="Arial" w:cs="Arial"/>
              </w:rPr>
              <w:t>,</w:t>
            </w:r>
            <w:r w:rsidR="005943D0" w:rsidRPr="009B0F7D">
              <w:rPr>
                <w:rFonts w:ascii="Arial" w:hAnsi="Arial" w:cs="Arial"/>
              </w:rPr>
              <w:t xml:space="preserve"> la </w:t>
            </w:r>
            <w:r w:rsidR="3D66928A" w:rsidRPr="009B0F7D">
              <w:rPr>
                <w:rFonts w:ascii="Arial" w:hAnsi="Arial" w:cs="Arial"/>
              </w:rPr>
              <w:t>que</w:t>
            </w:r>
            <w:r w:rsidR="005943D0" w:rsidRPr="009B0F7D">
              <w:rPr>
                <w:rFonts w:ascii="Arial" w:hAnsi="Arial" w:cs="Arial"/>
              </w:rPr>
              <w:t>,</w:t>
            </w:r>
            <w:r w:rsidRPr="009B0F7D">
              <w:rPr>
                <w:rFonts w:ascii="Arial" w:hAnsi="Arial" w:cs="Arial"/>
              </w:rPr>
              <w:t xml:space="preserve"> </w:t>
            </w:r>
            <w:r w:rsidR="005943D0" w:rsidRPr="009B0F7D">
              <w:rPr>
                <w:rFonts w:ascii="Arial" w:hAnsi="Arial" w:cs="Arial"/>
              </w:rPr>
              <w:t>d</w:t>
            </w:r>
            <w:r w:rsidR="00EE7FC3" w:rsidRPr="009B0F7D">
              <w:rPr>
                <w:rFonts w:ascii="Arial" w:hAnsi="Arial" w:cs="Arial"/>
              </w:rPr>
              <w:t>e acuerdo con el documento</w:t>
            </w:r>
            <w:r w:rsidR="00253486" w:rsidRPr="009B0F7D">
              <w:rPr>
                <w:rFonts w:ascii="Arial" w:hAnsi="Arial" w:cs="Arial"/>
              </w:rPr>
              <w:t xml:space="preserve"> </w:t>
            </w:r>
            <w:r w:rsidR="00486AF1" w:rsidRPr="009B0F7D">
              <w:rPr>
                <w:rFonts w:ascii="Arial" w:hAnsi="Arial" w:cs="Arial"/>
              </w:rPr>
              <w:t>soporte</w:t>
            </w:r>
            <w:r w:rsidR="00BE5AF0" w:rsidRPr="009B0F7D">
              <w:rPr>
                <w:vertAlign w:val="superscript"/>
              </w:rPr>
              <w:footnoteReference w:id="7"/>
            </w:r>
            <w:r w:rsidR="009019E0" w:rsidRPr="009B0F7D">
              <w:rPr>
                <w:rFonts w:ascii="Arial" w:hAnsi="Arial" w:cs="Arial"/>
              </w:rPr>
              <w:t>, en</w:t>
            </w:r>
            <w:r w:rsidR="0017041F" w:rsidRPr="009B0F7D">
              <w:rPr>
                <w:rFonts w:ascii="Arial" w:hAnsi="Arial" w:cs="Arial"/>
              </w:rPr>
              <w:t xml:space="preserve"> el numeral 3.2</w:t>
            </w:r>
            <w:r w:rsidR="005943D0" w:rsidRPr="009B0F7D">
              <w:rPr>
                <w:rFonts w:ascii="Arial" w:hAnsi="Arial" w:cs="Arial"/>
              </w:rPr>
              <w:t>,</w:t>
            </w:r>
            <w:r w:rsidR="00892A96" w:rsidRPr="009B0F7D">
              <w:rPr>
                <w:rFonts w:ascii="Arial" w:hAnsi="Arial" w:cs="Arial"/>
              </w:rPr>
              <w:t xml:space="preserve"> </w:t>
            </w:r>
            <w:r w:rsidR="0017041F" w:rsidRPr="009B0F7D">
              <w:rPr>
                <w:rFonts w:ascii="Arial" w:hAnsi="Arial" w:cs="Arial"/>
              </w:rPr>
              <w:t>indic</w:t>
            </w:r>
            <w:r w:rsidR="00F270F2" w:rsidRPr="009B0F7D">
              <w:rPr>
                <w:rFonts w:ascii="Arial" w:hAnsi="Arial" w:cs="Arial"/>
              </w:rPr>
              <w:t>a que</w:t>
            </w:r>
            <w:r w:rsidR="005A31D5" w:rsidRPr="009B0F7D">
              <w:rPr>
                <w:rFonts w:ascii="Arial" w:hAnsi="Arial" w:cs="Arial"/>
              </w:rPr>
              <w:t xml:space="preserve"> respecto a los PR</w:t>
            </w:r>
            <w:r w:rsidR="00B51E3E" w:rsidRPr="009B0F7D">
              <w:rPr>
                <w:rFonts w:ascii="Arial" w:hAnsi="Arial" w:cs="Arial"/>
              </w:rPr>
              <w:t>S</w:t>
            </w:r>
            <w:r w:rsidR="005A31D5" w:rsidRPr="009B0F7D">
              <w:rPr>
                <w:rFonts w:ascii="Arial" w:hAnsi="Arial" w:cs="Arial"/>
              </w:rPr>
              <w:t>TM</w:t>
            </w:r>
            <w:r w:rsidR="00377D34" w:rsidRPr="009B0F7D">
              <w:rPr>
                <w:rFonts w:ascii="Arial" w:hAnsi="Arial" w:cs="Arial"/>
              </w:rPr>
              <w:t xml:space="preserve"> esta medida representa un ahorro considerable en </w:t>
            </w:r>
            <w:r w:rsidR="00F1003C" w:rsidRPr="009B0F7D">
              <w:rPr>
                <w:rFonts w:ascii="Arial" w:hAnsi="Arial" w:cs="Arial"/>
              </w:rPr>
              <w:t xml:space="preserve">sus </w:t>
            </w:r>
            <w:r w:rsidR="00377D34" w:rsidRPr="009B0F7D">
              <w:rPr>
                <w:rFonts w:ascii="Arial" w:hAnsi="Arial" w:cs="Arial"/>
              </w:rPr>
              <w:t>costos de operación</w:t>
            </w:r>
            <w:r w:rsidR="00F1003C" w:rsidRPr="009B0F7D">
              <w:rPr>
                <w:rFonts w:ascii="Arial" w:hAnsi="Arial" w:cs="Arial"/>
              </w:rPr>
              <w:t xml:space="preserve">, así como en la implementación de estas medidas para </w:t>
            </w:r>
            <w:r w:rsidR="008F4F8F" w:rsidRPr="009B0F7D">
              <w:rPr>
                <w:rFonts w:ascii="Arial" w:hAnsi="Arial" w:cs="Arial"/>
              </w:rPr>
              <w:t xml:space="preserve">proveedores </w:t>
            </w:r>
            <w:r w:rsidR="00F1003C" w:rsidRPr="009B0F7D">
              <w:rPr>
                <w:rFonts w:ascii="Arial" w:hAnsi="Arial" w:cs="Arial"/>
              </w:rPr>
              <w:t>entrantes. Esto es planteado por la CRC en los siguientes términos</w:t>
            </w:r>
            <w:r w:rsidR="00E7742F" w:rsidRPr="009B0F7D">
              <w:rPr>
                <w:rFonts w:ascii="Arial" w:hAnsi="Arial" w:cs="Arial"/>
              </w:rPr>
              <w:t>:</w:t>
            </w:r>
          </w:p>
          <w:p w14:paraId="4BBC18B9" w14:textId="77777777" w:rsidR="00E7742F" w:rsidRPr="009B0F7D" w:rsidRDefault="00E7742F" w:rsidP="001330DA">
            <w:pPr>
              <w:pStyle w:val="Listavistosa-nfasis11"/>
              <w:jc w:val="both"/>
              <w:rPr>
                <w:rFonts w:ascii="Arial" w:hAnsi="Arial" w:cs="Arial"/>
              </w:rPr>
            </w:pPr>
          </w:p>
          <w:p w14:paraId="324C6615" w14:textId="7B345F8F" w:rsidR="00E7742F" w:rsidRPr="009B0F7D" w:rsidRDefault="00F270F2" w:rsidP="00E7742F">
            <w:pPr>
              <w:pStyle w:val="Listavistosa-nfasis11"/>
              <w:jc w:val="both"/>
              <w:rPr>
                <w:rFonts w:ascii="Arial" w:hAnsi="Arial" w:cs="Arial"/>
                <w:i/>
              </w:rPr>
            </w:pPr>
            <w:r w:rsidRPr="009B0F7D">
              <w:rPr>
                <w:rFonts w:ascii="Arial" w:hAnsi="Arial" w:cs="Arial"/>
                <w:i/>
              </w:rPr>
              <w:t xml:space="preserve"> “</w:t>
            </w:r>
            <w:r w:rsidR="00E7742F" w:rsidRPr="009B0F7D">
              <w:rPr>
                <w:rFonts w:ascii="Arial" w:hAnsi="Arial" w:cs="Arial"/>
                <w:i/>
              </w:rPr>
              <w:t>La estimación de los costos de cada una de las alternativas contempladas toma como base los análisis</w:t>
            </w:r>
            <w:r w:rsidR="00883F9B" w:rsidRPr="009B0F7D">
              <w:rPr>
                <w:rFonts w:ascii="Arial" w:hAnsi="Arial" w:cs="Arial"/>
                <w:i/>
              </w:rPr>
              <w:t xml:space="preserve"> </w:t>
            </w:r>
            <w:r w:rsidR="00E7742F" w:rsidRPr="009B0F7D">
              <w:rPr>
                <w:rFonts w:ascii="Arial" w:hAnsi="Arial" w:cs="Arial"/>
                <w:i/>
              </w:rPr>
              <w:t>realizados en la sección 5.2, en los cuales a partir de la información correspondiente a los Costos de</w:t>
            </w:r>
            <w:r w:rsidR="00883F9B" w:rsidRPr="009B0F7D">
              <w:rPr>
                <w:rFonts w:ascii="Arial" w:hAnsi="Arial" w:cs="Arial"/>
                <w:i/>
              </w:rPr>
              <w:t xml:space="preserve"> </w:t>
            </w:r>
            <w:r w:rsidR="00E7742F" w:rsidRPr="009B0F7D">
              <w:rPr>
                <w:rFonts w:ascii="Arial" w:hAnsi="Arial" w:cs="Arial"/>
                <w:i/>
              </w:rPr>
              <w:t>Operación (OPEX) reportada por todos los PRSTM para un periodo de doce (12) meses. Teniendo en</w:t>
            </w:r>
            <w:r w:rsidR="00883F9B" w:rsidRPr="009B0F7D">
              <w:rPr>
                <w:rFonts w:ascii="Arial" w:hAnsi="Arial" w:cs="Arial"/>
                <w:i/>
              </w:rPr>
              <w:t xml:space="preserve"> </w:t>
            </w:r>
            <w:r w:rsidR="00E7742F" w:rsidRPr="009B0F7D">
              <w:rPr>
                <w:rFonts w:ascii="Arial" w:hAnsi="Arial" w:cs="Arial"/>
                <w:i/>
              </w:rPr>
              <w:t>cuenta la cantidad promedio de dispositivos bloqueados presentados para cada una de las tipologías de</w:t>
            </w:r>
            <w:r w:rsidR="00883F9B" w:rsidRPr="009B0F7D">
              <w:rPr>
                <w:rFonts w:ascii="Arial" w:hAnsi="Arial" w:cs="Arial"/>
                <w:i/>
              </w:rPr>
              <w:t xml:space="preserve"> </w:t>
            </w:r>
            <w:r w:rsidR="00E7742F" w:rsidRPr="009B0F7D">
              <w:rPr>
                <w:rFonts w:ascii="Arial" w:hAnsi="Arial" w:cs="Arial"/>
                <w:i/>
              </w:rPr>
              <w:t>bloqueo, se obtuvieron los Costos de Operación de cada medida. Acorde con la información de la Tabla</w:t>
            </w:r>
            <w:r w:rsidR="00883F9B" w:rsidRPr="009B0F7D">
              <w:rPr>
                <w:rFonts w:ascii="Arial" w:hAnsi="Arial" w:cs="Arial"/>
                <w:i/>
              </w:rPr>
              <w:t xml:space="preserve"> </w:t>
            </w:r>
            <w:r w:rsidR="00E7742F" w:rsidRPr="009B0F7D">
              <w:rPr>
                <w:rFonts w:ascii="Arial" w:hAnsi="Arial" w:cs="Arial"/>
                <w:i/>
              </w:rPr>
              <w:t>3, para la tipología de No Registro, sobre la cual versan las alternativas de simplificación propuestas, se</w:t>
            </w:r>
            <w:r w:rsidR="00883F9B" w:rsidRPr="009B0F7D">
              <w:rPr>
                <w:rFonts w:ascii="Arial" w:hAnsi="Arial" w:cs="Arial"/>
                <w:i/>
              </w:rPr>
              <w:t xml:space="preserve"> </w:t>
            </w:r>
            <w:r w:rsidR="00E7742F" w:rsidRPr="009B0F7D">
              <w:rPr>
                <w:rFonts w:ascii="Arial" w:hAnsi="Arial" w:cs="Arial"/>
                <w:i/>
              </w:rPr>
              <w:t>observa que los Costos Operacionales ascienden a $ 9.071 Millones.</w:t>
            </w:r>
            <w:r w:rsidR="00883F9B" w:rsidRPr="009B0F7D">
              <w:rPr>
                <w:rFonts w:ascii="Arial" w:hAnsi="Arial" w:cs="Arial"/>
                <w:i/>
              </w:rPr>
              <w:t xml:space="preserve"> (…)</w:t>
            </w:r>
          </w:p>
          <w:p w14:paraId="50011B88" w14:textId="77777777" w:rsidR="00E7742F" w:rsidRPr="009B0F7D" w:rsidRDefault="00E7742F" w:rsidP="00E7742F">
            <w:pPr>
              <w:pStyle w:val="Listavistosa-nfasis11"/>
              <w:jc w:val="both"/>
              <w:rPr>
                <w:rFonts w:ascii="Arial" w:hAnsi="Arial" w:cs="Arial"/>
                <w:i/>
              </w:rPr>
            </w:pPr>
          </w:p>
          <w:p w14:paraId="52E56223" w14:textId="169642B8" w:rsidR="00B96AA7" w:rsidRPr="009B0F7D" w:rsidRDefault="00E7742F" w:rsidP="00B62FEA">
            <w:pPr>
              <w:pStyle w:val="Listavistosa-nfasis11"/>
              <w:jc w:val="both"/>
              <w:rPr>
                <w:rFonts w:ascii="Arial" w:hAnsi="Arial" w:cs="Arial"/>
                <w:i/>
              </w:rPr>
            </w:pPr>
            <w:r w:rsidRPr="009B0F7D">
              <w:rPr>
                <w:rFonts w:ascii="Arial" w:hAnsi="Arial" w:cs="Arial"/>
                <w:i/>
              </w:rPr>
              <w:t xml:space="preserve">(…) </w:t>
            </w:r>
            <w:r w:rsidR="004C061A" w:rsidRPr="009B0F7D">
              <w:rPr>
                <w:rFonts w:ascii="Arial" w:hAnsi="Arial" w:cs="Arial"/>
                <w:i/>
              </w:rPr>
              <w:t>Bajo este entendido, la segunda alternativa, correspondiente a la “eliminación del proceso de registro y de alta en la BDA Positiva”, implicaría la reducción total de los costos asociados a la operación de la tipología de No Registro, correspondiente a $9.071 millones, con lo que el Costo Operativo de esta alternativa corresponde a $ 15.828 millones en el transcurso de doce (12) meses. Por otra parte, la tercera alternativa, que corresponde a la “eliminación del proceso de registro de usuario en la BDA Positiva”, permitiría una reducción del 44% de los $ 9.071 millones, equivalente a $ 4.000 millones en</w:t>
            </w:r>
            <w:r w:rsidR="00F270F2" w:rsidRPr="009B0F7D">
              <w:rPr>
                <w:rFonts w:ascii="Arial" w:hAnsi="Arial" w:cs="Arial"/>
                <w:i/>
              </w:rPr>
              <w:t xml:space="preserve"> </w:t>
            </w:r>
            <w:r w:rsidR="004C061A" w:rsidRPr="009B0F7D">
              <w:rPr>
                <w:rFonts w:ascii="Arial" w:hAnsi="Arial" w:cs="Arial"/>
                <w:i/>
              </w:rPr>
              <w:t>los costos de operación. Así, el Costo Operativo de esta alternativa equivale a $ 20.899 millones anuales.</w:t>
            </w:r>
            <w:r w:rsidR="0077219A" w:rsidRPr="009B0F7D">
              <w:rPr>
                <w:rFonts w:ascii="Arial" w:hAnsi="Arial" w:cs="Arial"/>
                <w:i/>
              </w:rPr>
              <w:t>”</w:t>
            </w:r>
            <w:r w:rsidR="001330DA" w:rsidRPr="009B0F7D">
              <w:rPr>
                <w:rFonts w:ascii="Arial" w:hAnsi="Arial" w:cs="Arial"/>
                <w:i/>
              </w:rPr>
              <w:t xml:space="preserve"> </w:t>
            </w:r>
          </w:p>
          <w:p w14:paraId="5CB7CEFA" w14:textId="77777777" w:rsidR="003152C7" w:rsidRPr="009B0F7D" w:rsidRDefault="003152C7" w:rsidP="00B62FEA">
            <w:pPr>
              <w:pStyle w:val="Listavistosa-nfasis11"/>
              <w:jc w:val="both"/>
              <w:rPr>
                <w:rFonts w:ascii="Arial" w:hAnsi="Arial" w:cs="Arial"/>
                <w:i/>
              </w:rPr>
            </w:pPr>
          </w:p>
          <w:p w14:paraId="0EBBFD63" w14:textId="77777777" w:rsidR="003152C7" w:rsidRPr="009B0F7D" w:rsidRDefault="003152C7" w:rsidP="003152C7">
            <w:pPr>
              <w:pStyle w:val="Listavistosa-nfasis11"/>
              <w:jc w:val="both"/>
              <w:rPr>
                <w:rFonts w:ascii="Arial" w:hAnsi="Arial" w:cs="Arial"/>
                <w:iCs/>
              </w:rPr>
            </w:pPr>
            <w:r w:rsidRPr="009B0F7D">
              <w:rPr>
                <w:rFonts w:ascii="Arial" w:hAnsi="Arial" w:cs="Arial"/>
                <w:iCs/>
              </w:rPr>
              <w:t xml:space="preserve">El análisis de estas alternativas ha sido tomado como punto de partida para calcular las reducciones en CAPEX y OPEX que corresponden a la alternativa con mejor desempeño (la 5), desarrolladas en el mencionado documento donde se determina que: </w:t>
            </w:r>
            <w:r w:rsidRPr="009B0F7D">
              <w:rPr>
                <w:rFonts w:ascii="Arial" w:hAnsi="Arial" w:cs="Arial"/>
                <w:i/>
              </w:rPr>
              <w:t xml:space="preserve">“la alternativa de “eliminación del proceso de detección y bloqueo de IMEI no registrados” corresponde a una modificación parcial de las alternativas inicialmente propuestas. En particular, en términos prácticos de los mecanismos de bloqueo, esta alternativa coincide con la eliminación del proceso de detección y bloqueo que se obtenía con la implementación de la segunda alternativa del Documento de Resultados del AIN y contenida en la Tabla 4 del presente documento. Lo anterior implica que la relación beneficio/costo, la cual está calculada con base tanto en la estimación de ETM que se espera sean bloqueados, como por el costo de las tipologías que continúen vigentes, corresponde a la relación calculada previamente, la cual está plasmada en la sección 5.3.1. LaTabla 8 muestra la relación beneficio/costo para las todas las alternativas.” </w:t>
            </w:r>
            <w:r w:rsidRPr="009B0F7D">
              <w:rPr>
                <w:rFonts w:ascii="Arial" w:hAnsi="Arial" w:cs="Arial"/>
                <w:iCs/>
              </w:rPr>
              <w:t>Donde</w:t>
            </w:r>
            <w:r w:rsidRPr="009B0F7D">
              <w:rPr>
                <w:rFonts w:ascii="Arial" w:hAnsi="Arial" w:cs="Arial"/>
                <w:i/>
              </w:rPr>
              <w:t xml:space="preserve"> </w:t>
            </w:r>
            <w:r w:rsidRPr="009B0F7D">
              <w:rPr>
                <w:rFonts w:ascii="Arial" w:hAnsi="Arial" w:cs="Arial"/>
                <w:iCs/>
              </w:rPr>
              <w:t>se relaciona el costo/beneficio de 19.8 para la alternativa 5.</w:t>
            </w:r>
          </w:p>
          <w:p w14:paraId="5CF47031" w14:textId="77777777" w:rsidR="003152C7" w:rsidRPr="009B0F7D" w:rsidRDefault="003152C7" w:rsidP="003152C7">
            <w:pPr>
              <w:pStyle w:val="Listavistosa-nfasis11"/>
              <w:jc w:val="both"/>
              <w:rPr>
                <w:rFonts w:ascii="Arial" w:hAnsi="Arial" w:cs="Arial"/>
                <w:iCs/>
              </w:rPr>
            </w:pPr>
          </w:p>
          <w:p w14:paraId="2880EE9B" w14:textId="77777777" w:rsidR="003152C7" w:rsidRPr="009B0F7D" w:rsidRDefault="003152C7" w:rsidP="003152C7">
            <w:pPr>
              <w:pStyle w:val="Listavistosa-nfasis11"/>
              <w:jc w:val="both"/>
              <w:rPr>
                <w:rFonts w:ascii="Arial" w:hAnsi="Arial" w:cs="Arial"/>
                <w:i/>
              </w:rPr>
            </w:pPr>
            <w:r w:rsidRPr="009B0F7D">
              <w:rPr>
                <w:rFonts w:ascii="Arial" w:hAnsi="Arial" w:cs="Arial"/>
                <w:i/>
              </w:rPr>
              <w:t>” En cuanto a las inversiones relacionadas con la alternativa de “eliminación del proceso de detección y bloqueo de IMEI no registrados”, siguiendo la lógica aplicada en la sección anterior, corresponden con los ya calculados para la segunda alternativa”</w:t>
            </w:r>
          </w:p>
          <w:p w14:paraId="5CA4F00D" w14:textId="77777777" w:rsidR="003152C7" w:rsidRPr="009B0F7D" w:rsidRDefault="003152C7" w:rsidP="00B62FEA">
            <w:pPr>
              <w:pStyle w:val="Listavistosa-nfasis11"/>
              <w:jc w:val="both"/>
              <w:rPr>
                <w:rFonts w:ascii="Arial" w:hAnsi="Arial" w:cs="Arial"/>
                <w:i/>
              </w:rPr>
            </w:pPr>
          </w:p>
          <w:p w14:paraId="70DF9E56" w14:textId="77777777" w:rsidR="00843EFF" w:rsidRPr="009B0F7D" w:rsidRDefault="00843EFF" w:rsidP="00171FCD">
            <w:pPr>
              <w:autoSpaceDE w:val="0"/>
              <w:autoSpaceDN w:val="0"/>
              <w:adjustRightInd w:val="0"/>
              <w:jc w:val="both"/>
              <w:rPr>
                <w:rFonts w:cs="Arial"/>
              </w:rPr>
            </w:pPr>
          </w:p>
        </w:tc>
      </w:tr>
      <w:tr w:rsidR="00FF3437" w:rsidRPr="009B0F7D" w14:paraId="33059C2C" w14:textId="77777777" w:rsidTr="6E80773C">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71BC" w14:textId="77777777" w:rsidR="00843EFF" w:rsidRPr="009B0F7D" w:rsidRDefault="00843EFF" w:rsidP="00A161B9">
            <w:pPr>
              <w:rPr>
                <w:rFonts w:cs="Arial"/>
                <w:b/>
                <w:sz w:val="22"/>
                <w:szCs w:val="22"/>
              </w:rPr>
            </w:pPr>
          </w:p>
          <w:p w14:paraId="1A33C7C8" w14:textId="77777777" w:rsidR="00DF60FD" w:rsidRPr="009B0F7D" w:rsidRDefault="00795C6B" w:rsidP="00F25909">
            <w:pPr>
              <w:numPr>
                <w:ilvl w:val="0"/>
                <w:numId w:val="2"/>
              </w:numPr>
              <w:rPr>
                <w:rFonts w:cs="Arial"/>
                <w:b/>
                <w:sz w:val="22"/>
                <w:szCs w:val="22"/>
              </w:rPr>
            </w:pPr>
            <w:r w:rsidRPr="009B0F7D">
              <w:rPr>
                <w:rFonts w:cs="Arial"/>
                <w:b/>
                <w:sz w:val="22"/>
                <w:szCs w:val="22"/>
              </w:rPr>
              <w:t xml:space="preserve">VIABILIDAD O </w:t>
            </w:r>
            <w:r w:rsidR="00DF60FD" w:rsidRPr="009B0F7D">
              <w:rPr>
                <w:rFonts w:cs="Arial"/>
                <w:b/>
                <w:sz w:val="22"/>
                <w:szCs w:val="22"/>
              </w:rPr>
              <w:t xml:space="preserve">DISPONIBILIDAD PRESUPUESTAL </w:t>
            </w:r>
            <w:r w:rsidR="00D05B67" w:rsidRPr="009B0F7D">
              <w:rPr>
                <w:rFonts w:cs="Arial"/>
                <w:sz w:val="22"/>
                <w:szCs w:val="22"/>
              </w:rPr>
              <w:t>(Si se requiere)</w:t>
            </w:r>
          </w:p>
          <w:p w14:paraId="6E53A605" w14:textId="77777777" w:rsidR="00D05B67" w:rsidRPr="009B0F7D" w:rsidRDefault="00D05B67" w:rsidP="00D05B67">
            <w:pPr>
              <w:pStyle w:val="Listavistosa-nfasis11"/>
              <w:jc w:val="both"/>
              <w:rPr>
                <w:rFonts w:ascii="Arial" w:hAnsi="Arial" w:cs="Arial"/>
                <w:i/>
                <w:sz w:val="18"/>
              </w:rPr>
            </w:pPr>
            <w:r w:rsidRPr="009B0F7D">
              <w:rPr>
                <w:rFonts w:ascii="Arial" w:hAnsi="Arial" w:cs="Arial"/>
                <w:i/>
                <w:sz w:val="18"/>
              </w:rPr>
              <w:t xml:space="preserve">(Por favor indique si cuenta con los recursos presupuestales disponibles para la implementación del proyecto normativo) </w:t>
            </w:r>
          </w:p>
          <w:p w14:paraId="12995319" w14:textId="77777777" w:rsidR="00F44A2E" w:rsidRPr="009B0F7D" w:rsidRDefault="00DB34CB" w:rsidP="00F44A2E">
            <w:pPr>
              <w:jc w:val="both"/>
              <w:rPr>
                <w:rFonts w:cs="Arial"/>
                <w:sz w:val="18"/>
                <w:szCs w:val="22"/>
                <w:lang w:val="es-CO" w:eastAsia="es-CO"/>
              </w:rPr>
            </w:pPr>
            <w:r w:rsidRPr="009B0F7D">
              <w:rPr>
                <w:rFonts w:cs="Arial"/>
                <w:sz w:val="18"/>
                <w:szCs w:val="22"/>
                <w:lang w:val="es-CO" w:eastAsia="es-CO"/>
              </w:rPr>
              <w:t>NA</w:t>
            </w:r>
          </w:p>
          <w:p w14:paraId="144A5D23" w14:textId="77777777" w:rsidR="00696582" w:rsidRPr="009B0F7D" w:rsidRDefault="00696582" w:rsidP="00F44A2E">
            <w:pPr>
              <w:jc w:val="both"/>
              <w:rPr>
                <w:sz w:val="22"/>
                <w:szCs w:val="22"/>
                <w:lang w:eastAsia="es-CO"/>
              </w:rPr>
            </w:pPr>
          </w:p>
        </w:tc>
      </w:tr>
      <w:tr w:rsidR="00FF3437" w:rsidRPr="009B0F7D" w14:paraId="1D7AD84D" w14:textId="77777777" w:rsidTr="6E80773C">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53197BB" w14:textId="77777777" w:rsidR="00DF60FD" w:rsidRPr="009B0F7D" w:rsidRDefault="00DF60FD" w:rsidP="00F25909">
            <w:pPr>
              <w:numPr>
                <w:ilvl w:val="0"/>
                <w:numId w:val="2"/>
              </w:numPr>
              <w:jc w:val="both"/>
              <w:rPr>
                <w:rFonts w:cs="Arial"/>
                <w:b/>
                <w:sz w:val="22"/>
                <w:szCs w:val="22"/>
              </w:rPr>
            </w:pPr>
            <w:r w:rsidRPr="009B0F7D">
              <w:rPr>
                <w:rFonts w:cs="Arial"/>
                <w:b/>
                <w:sz w:val="22"/>
                <w:szCs w:val="22"/>
              </w:rPr>
              <w:t xml:space="preserve"> IMPACTO MEDIOAMBIENTAL O SOBRE EL PATRIMONIO CULTURAL DE LA NACIÓN </w:t>
            </w:r>
            <w:r w:rsidR="00D05B67" w:rsidRPr="009B0F7D">
              <w:rPr>
                <w:rFonts w:cs="Arial"/>
                <w:sz w:val="22"/>
                <w:szCs w:val="22"/>
              </w:rPr>
              <w:t>(Si se requiere)</w:t>
            </w:r>
          </w:p>
          <w:p w14:paraId="7F01393D" w14:textId="77777777" w:rsidR="00D05B67" w:rsidRPr="009B0F7D" w:rsidRDefault="00D05B67" w:rsidP="00696582">
            <w:pPr>
              <w:ind w:left="778"/>
              <w:jc w:val="both"/>
              <w:rPr>
                <w:rFonts w:cs="Arial"/>
                <w:b/>
                <w:sz w:val="22"/>
                <w:szCs w:val="22"/>
              </w:rPr>
            </w:pPr>
            <w:r w:rsidRPr="009B0F7D">
              <w:rPr>
                <w:rFonts w:cs="Arial"/>
                <w:i/>
                <w:sz w:val="18"/>
                <w:szCs w:val="22"/>
              </w:rPr>
              <w:t xml:space="preserve">(Por favor </w:t>
            </w:r>
            <w:r w:rsidRPr="009B0F7D">
              <w:rPr>
                <w:rFonts w:cs="Arial"/>
                <w:i/>
                <w:sz w:val="18"/>
              </w:rPr>
              <w:t xml:space="preserve">indique el proyecto normativo tiene impacto sobre el medio ambiente o el Patrimonio cultural de la Nación) </w:t>
            </w:r>
          </w:p>
          <w:p w14:paraId="391525AD" w14:textId="77777777" w:rsidR="00D05B67" w:rsidRPr="009B0F7D" w:rsidRDefault="00F0258D" w:rsidP="00FA4A9E">
            <w:pPr>
              <w:jc w:val="both"/>
              <w:rPr>
                <w:rFonts w:cs="Arial"/>
                <w:sz w:val="18"/>
                <w:szCs w:val="22"/>
                <w:lang w:val="es-CO" w:eastAsia="es-CO"/>
              </w:rPr>
            </w:pPr>
            <w:r w:rsidRPr="009B0F7D">
              <w:rPr>
                <w:rFonts w:cs="Arial"/>
                <w:sz w:val="18"/>
                <w:szCs w:val="22"/>
                <w:lang w:val="es-CO" w:eastAsia="es-CO"/>
              </w:rPr>
              <w:t>NA</w:t>
            </w:r>
          </w:p>
          <w:p w14:paraId="738610EB" w14:textId="77777777" w:rsidR="00696582" w:rsidRPr="009B0F7D" w:rsidRDefault="00696582" w:rsidP="00FA4A9E">
            <w:pPr>
              <w:jc w:val="both"/>
              <w:rPr>
                <w:rFonts w:cs="Arial"/>
                <w:b/>
                <w:sz w:val="22"/>
                <w:szCs w:val="22"/>
              </w:rPr>
            </w:pPr>
          </w:p>
          <w:p w14:paraId="637805D2" w14:textId="77777777" w:rsidR="00EA5213" w:rsidRPr="009B0F7D" w:rsidRDefault="00EA5213" w:rsidP="00FA4A9E">
            <w:pPr>
              <w:jc w:val="both"/>
              <w:rPr>
                <w:rFonts w:cs="Arial"/>
                <w:b/>
                <w:sz w:val="22"/>
                <w:szCs w:val="22"/>
              </w:rPr>
            </w:pPr>
          </w:p>
        </w:tc>
      </w:tr>
      <w:tr w:rsidR="00FF3437" w:rsidRPr="009B0F7D" w14:paraId="1566CFBC" w14:textId="77777777" w:rsidTr="6E80773C">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9B0F7D" w:rsidRDefault="00D05B67" w:rsidP="00F25909">
            <w:pPr>
              <w:numPr>
                <w:ilvl w:val="0"/>
                <w:numId w:val="2"/>
              </w:numPr>
              <w:jc w:val="both"/>
              <w:rPr>
                <w:rFonts w:cs="Arial"/>
                <w:sz w:val="22"/>
                <w:szCs w:val="22"/>
              </w:rPr>
            </w:pPr>
            <w:r w:rsidRPr="009B0F7D">
              <w:rPr>
                <w:rFonts w:cs="Arial"/>
                <w:b/>
                <w:sz w:val="22"/>
                <w:szCs w:val="22"/>
              </w:rPr>
              <w:t>ESTUDIOS TÉCNICOS QUE SUSTENTEN EL PROYECTO NORMATIVO</w:t>
            </w:r>
            <w:r w:rsidRPr="009B0F7D">
              <w:rPr>
                <w:rFonts w:cs="Arial"/>
                <w:sz w:val="22"/>
                <w:szCs w:val="22"/>
              </w:rPr>
              <w:t xml:space="preserve"> (Si cuenta con ellos)</w:t>
            </w:r>
            <w:r w:rsidR="00696582" w:rsidRPr="009B0F7D">
              <w:rPr>
                <w:rFonts w:cs="Arial"/>
                <w:sz w:val="22"/>
                <w:szCs w:val="22"/>
              </w:rPr>
              <w:t xml:space="preserve"> </w:t>
            </w:r>
          </w:p>
        </w:tc>
      </w:tr>
      <w:tr w:rsidR="00FF3437" w:rsidRPr="009B0F7D" w14:paraId="463F29E8"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B7B4B86" w14:textId="77777777" w:rsidR="00EA5213" w:rsidRPr="009B0F7D" w:rsidRDefault="00EA5213" w:rsidP="00A161B9">
            <w:pPr>
              <w:rPr>
                <w:rFonts w:cs="Arial"/>
                <w:b/>
                <w:sz w:val="22"/>
                <w:szCs w:val="22"/>
              </w:rPr>
            </w:pPr>
          </w:p>
        </w:tc>
      </w:tr>
      <w:tr w:rsidR="00FF3437" w:rsidRPr="009B0F7D" w14:paraId="089936BB" w14:textId="77777777" w:rsidTr="6E80773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3D3D2EC" w14:textId="27E407DF" w:rsidR="00DF60FD" w:rsidRPr="009B0F7D" w:rsidRDefault="0044682A" w:rsidP="00F55DC4">
            <w:pPr>
              <w:jc w:val="both"/>
              <w:rPr>
                <w:rFonts w:cs="Arial"/>
                <w:sz w:val="22"/>
                <w:szCs w:val="22"/>
              </w:rPr>
            </w:pPr>
            <w:r w:rsidRPr="009B0F7D">
              <w:rPr>
                <w:rFonts w:cs="Arial"/>
                <w:sz w:val="22"/>
                <w:szCs w:val="22"/>
                <w:lang w:val="es-CO" w:eastAsia="es-CO"/>
              </w:rPr>
              <w:t>La propuesta se sustenta en el estudio “</w:t>
            </w:r>
            <w:r w:rsidR="00B34453" w:rsidRPr="009B0F7D">
              <w:rPr>
                <w:rFonts w:cs="Arial"/>
                <w:sz w:val="22"/>
                <w:szCs w:val="22"/>
                <w:lang w:val="es-CO" w:eastAsia="es-CO"/>
              </w:rPr>
              <w:t>Simplificación del Marco Regulatorio para la Restricción de Equipos Terminales Hurtados</w:t>
            </w:r>
            <w:r w:rsidRPr="009B0F7D">
              <w:rPr>
                <w:rFonts w:cs="Arial"/>
                <w:sz w:val="22"/>
                <w:szCs w:val="22"/>
                <w:lang w:val="es-CO" w:eastAsia="es-CO"/>
              </w:rPr>
              <w:t>.”</w:t>
            </w:r>
            <w:r w:rsidR="00FB45AE" w:rsidRPr="009B0F7D">
              <w:rPr>
                <w:rFonts w:cs="Arial"/>
                <w:sz w:val="22"/>
                <w:szCs w:val="22"/>
                <w:lang w:val="es-CO" w:eastAsia="es-CO"/>
              </w:rPr>
              <w:t xml:space="preserve"> </w:t>
            </w:r>
            <w:r w:rsidR="001071A2" w:rsidRPr="009B0F7D">
              <w:rPr>
                <w:rFonts w:cs="Arial"/>
                <w:sz w:val="22"/>
                <w:szCs w:val="22"/>
                <w:lang w:val="es-CO" w:eastAsia="es-CO"/>
              </w:rPr>
              <w:t>i</w:t>
            </w:r>
            <w:r w:rsidR="00FB45AE" w:rsidRPr="009B0F7D">
              <w:rPr>
                <w:rFonts w:cs="Arial"/>
                <w:sz w:val="22"/>
                <w:szCs w:val="22"/>
                <w:lang w:val="es-CO" w:eastAsia="es-CO"/>
              </w:rPr>
              <w:t>niciado en abril de 2019</w:t>
            </w:r>
            <w:r w:rsidRPr="009B0F7D">
              <w:rPr>
                <w:rFonts w:cs="Arial"/>
                <w:sz w:val="22"/>
                <w:szCs w:val="22"/>
                <w:lang w:val="es-CO" w:eastAsia="es-CO"/>
              </w:rPr>
              <w:t xml:space="preserve">, elaborado por la </w:t>
            </w:r>
            <w:r w:rsidR="00B34453" w:rsidRPr="009B0F7D">
              <w:rPr>
                <w:rFonts w:cs="Arial"/>
                <w:sz w:val="22"/>
                <w:szCs w:val="22"/>
                <w:lang w:val="es-CO" w:eastAsia="es-CO"/>
              </w:rPr>
              <w:t>Comisión de Regulación de Comunicaciones</w:t>
            </w:r>
            <w:r w:rsidR="00FB45AE" w:rsidRPr="009B0F7D">
              <w:rPr>
                <w:rFonts w:cs="Arial"/>
                <w:sz w:val="22"/>
                <w:szCs w:val="22"/>
                <w:lang w:val="es-CO" w:eastAsia="es-CO"/>
              </w:rPr>
              <w:t xml:space="preserve"> y que puede ser consultado en el link </w:t>
            </w:r>
            <w:hyperlink r:id="rId11" w:history="1">
              <w:r w:rsidR="00A67F1F" w:rsidRPr="009B0F7D">
                <w:rPr>
                  <w:rStyle w:val="Hipervnculo"/>
                  <w:rFonts w:cs="Arial"/>
                  <w:sz w:val="22"/>
                  <w:szCs w:val="22"/>
                  <w:lang w:val="es-CO" w:eastAsia="es-CO"/>
                </w:rPr>
                <w:t>https://www.crcom.gov.co/es/proyectos-regulatorios/2000-71-17</w:t>
              </w:r>
            </w:hyperlink>
            <w:r w:rsidRPr="009B0F7D">
              <w:rPr>
                <w:rFonts w:cs="Arial"/>
                <w:sz w:val="22"/>
                <w:szCs w:val="22"/>
                <w:lang w:val="es-CO" w:eastAsia="es-CO"/>
              </w:rPr>
              <w:t>.</w:t>
            </w:r>
            <w:r w:rsidR="00C500CD" w:rsidRPr="009B0F7D">
              <w:rPr>
                <w:rFonts w:cs="Arial"/>
                <w:sz w:val="22"/>
                <w:szCs w:val="22"/>
                <w:lang w:val="es-CO" w:eastAsia="es-CO"/>
              </w:rPr>
              <w:t xml:space="preserve"> </w:t>
            </w:r>
          </w:p>
        </w:tc>
      </w:tr>
      <w:tr w:rsidR="00FF3437" w:rsidRPr="009B0F7D" w14:paraId="4F9287A5" w14:textId="77777777" w:rsidTr="6E80773C">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9B0F7D" w:rsidRDefault="00DF60FD" w:rsidP="00696582">
            <w:pPr>
              <w:jc w:val="center"/>
              <w:rPr>
                <w:rFonts w:cs="Arial"/>
                <w:sz w:val="22"/>
                <w:szCs w:val="22"/>
              </w:rPr>
            </w:pPr>
            <w:r w:rsidRPr="009B0F7D">
              <w:rPr>
                <w:rFonts w:cs="Arial"/>
                <w:b/>
                <w:sz w:val="22"/>
                <w:szCs w:val="22"/>
              </w:rPr>
              <w:t>ANEXOS</w:t>
            </w:r>
            <w:r w:rsidR="00D05B67" w:rsidRPr="009B0F7D">
              <w:rPr>
                <w:rFonts w:cs="Arial"/>
                <w:b/>
                <w:sz w:val="22"/>
                <w:szCs w:val="22"/>
              </w:rPr>
              <w:t>:</w:t>
            </w:r>
            <w:r w:rsidR="00696582" w:rsidRPr="009B0F7D">
              <w:rPr>
                <w:rFonts w:cs="Arial"/>
                <w:sz w:val="22"/>
                <w:szCs w:val="22"/>
              </w:rPr>
              <w:t xml:space="preserve"> </w:t>
            </w:r>
          </w:p>
        </w:tc>
      </w:tr>
      <w:tr w:rsidR="00FF3437" w:rsidRPr="009B0F7D" w14:paraId="52ED9E0D"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77777777" w:rsidR="00D05B67" w:rsidRPr="009B0F7D" w:rsidRDefault="00D05B67" w:rsidP="00D05B67">
            <w:pPr>
              <w:jc w:val="both"/>
              <w:rPr>
                <w:rFonts w:cs="Arial"/>
                <w:sz w:val="22"/>
                <w:szCs w:val="22"/>
              </w:rPr>
            </w:pPr>
            <w:r w:rsidRPr="009B0F7D">
              <w:rPr>
                <w:rFonts w:cs="Arial"/>
                <w:sz w:val="22"/>
                <w:szCs w:val="22"/>
              </w:rPr>
              <w:t xml:space="preserve">Certificación de cumplimiento de requisitos de consulta, publicidad y de incorporación en la agenda regulatoria </w:t>
            </w:r>
          </w:p>
          <w:p w14:paraId="714F9EE4" w14:textId="77777777" w:rsidR="00D05B67" w:rsidRPr="009B0F7D" w:rsidRDefault="00D05B67" w:rsidP="00D05B67">
            <w:pPr>
              <w:jc w:val="both"/>
              <w:rPr>
                <w:rFonts w:cs="Arial"/>
                <w:i/>
                <w:sz w:val="22"/>
                <w:szCs w:val="22"/>
              </w:rPr>
            </w:pPr>
            <w:r w:rsidRPr="009B0F7D">
              <w:rPr>
                <w:rFonts w:cs="Arial"/>
                <w:i/>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DFAC6C8" w14:textId="7B31D38F" w:rsidR="00D05B67" w:rsidRPr="009B0F7D" w:rsidRDefault="00D05B67" w:rsidP="75EF3542">
            <w:pPr>
              <w:jc w:val="both"/>
              <w:rPr>
                <w:rFonts w:cs="Arial"/>
                <w:i/>
                <w:iCs/>
                <w:sz w:val="22"/>
                <w:szCs w:val="22"/>
              </w:rPr>
            </w:pPr>
          </w:p>
        </w:tc>
      </w:tr>
      <w:tr w:rsidR="00FF3437" w:rsidRPr="009B0F7D" w14:paraId="37A0D0F3"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77777777" w:rsidR="00D05B67" w:rsidRPr="009B0F7D" w:rsidRDefault="00D05B67" w:rsidP="00D05B67">
            <w:pPr>
              <w:jc w:val="both"/>
              <w:rPr>
                <w:rFonts w:cs="Arial"/>
                <w:sz w:val="22"/>
                <w:szCs w:val="22"/>
              </w:rPr>
            </w:pPr>
            <w:r w:rsidRPr="009B0F7D">
              <w:rPr>
                <w:rFonts w:cs="Arial"/>
                <w:sz w:val="22"/>
                <w:szCs w:val="22"/>
              </w:rPr>
              <w:t>Concepto</w:t>
            </w:r>
            <w:r w:rsidR="005F30C3" w:rsidRPr="009B0F7D">
              <w:rPr>
                <w:rFonts w:cs="Arial"/>
                <w:sz w:val="22"/>
                <w:szCs w:val="22"/>
              </w:rPr>
              <w:t>(s)</w:t>
            </w:r>
            <w:r w:rsidRPr="009B0F7D">
              <w:rPr>
                <w:rFonts w:cs="Arial"/>
                <w:sz w:val="22"/>
                <w:szCs w:val="22"/>
              </w:rPr>
              <w:t xml:space="preserve"> de Min</w:t>
            </w:r>
            <w:r w:rsidR="005F30C3" w:rsidRPr="009B0F7D">
              <w:rPr>
                <w:rFonts w:cs="Arial"/>
                <w:sz w:val="22"/>
                <w:szCs w:val="22"/>
              </w:rPr>
              <w:t>isterio de</w:t>
            </w:r>
            <w:r w:rsidRPr="009B0F7D">
              <w:rPr>
                <w:rFonts w:cs="Arial"/>
                <w:sz w:val="22"/>
                <w:szCs w:val="22"/>
              </w:rPr>
              <w:t xml:space="preserve"> Comercio</w:t>
            </w:r>
            <w:r w:rsidR="005F30C3" w:rsidRPr="009B0F7D">
              <w:rPr>
                <w:rFonts w:cs="Arial"/>
                <w:sz w:val="22"/>
                <w:szCs w:val="22"/>
              </w:rPr>
              <w:t>, Industria y Turismo</w:t>
            </w:r>
          </w:p>
          <w:p w14:paraId="66FBDB1C" w14:textId="77777777" w:rsidR="00D05B67" w:rsidRPr="009B0F7D" w:rsidRDefault="005F30C3" w:rsidP="00D05B67">
            <w:pPr>
              <w:jc w:val="both"/>
              <w:rPr>
                <w:rFonts w:cs="Arial"/>
                <w:i/>
                <w:sz w:val="22"/>
                <w:szCs w:val="22"/>
              </w:rPr>
            </w:pPr>
            <w:r w:rsidRPr="009B0F7D">
              <w:rPr>
                <w:rFonts w:cs="Arial"/>
                <w:i/>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B689E5E" w14:textId="418E0C63" w:rsidR="00D05B67" w:rsidRPr="009B0F7D" w:rsidRDefault="00D05B67" w:rsidP="00D05B67">
            <w:pPr>
              <w:jc w:val="both"/>
              <w:rPr>
                <w:rFonts w:cs="Arial"/>
                <w:sz w:val="22"/>
                <w:szCs w:val="22"/>
              </w:rPr>
            </w:pPr>
          </w:p>
        </w:tc>
      </w:tr>
      <w:tr w:rsidR="00FF3437" w:rsidRPr="009B0F7D" w14:paraId="510012B3"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77777777" w:rsidR="005F30C3" w:rsidRPr="009B0F7D" w:rsidRDefault="005F30C3" w:rsidP="00D05B67">
            <w:pPr>
              <w:jc w:val="both"/>
              <w:rPr>
                <w:rFonts w:cs="Arial"/>
                <w:sz w:val="22"/>
                <w:szCs w:val="22"/>
              </w:rPr>
            </w:pPr>
            <w:r w:rsidRPr="009B0F7D">
              <w:rPr>
                <w:rFonts w:cs="Arial"/>
                <w:sz w:val="22"/>
                <w:szCs w:val="22"/>
              </w:rPr>
              <w:t xml:space="preserve">Informe de observaciones y respuestas </w:t>
            </w:r>
          </w:p>
          <w:p w14:paraId="266A1F27" w14:textId="77777777" w:rsidR="005F30C3" w:rsidRPr="009B0F7D" w:rsidRDefault="005F30C3" w:rsidP="00D05B67">
            <w:pPr>
              <w:jc w:val="both"/>
              <w:rPr>
                <w:rFonts w:cs="Arial"/>
                <w:i/>
                <w:sz w:val="22"/>
                <w:szCs w:val="22"/>
              </w:rPr>
            </w:pPr>
            <w:r w:rsidRPr="009B0F7D">
              <w:rPr>
                <w:rFonts w:cs="Arial"/>
                <w:i/>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F6269AB" w14:textId="017DFA20" w:rsidR="005F30C3" w:rsidRPr="009B0F7D" w:rsidRDefault="005F30C3" w:rsidP="00D05B67">
            <w:pPr>
              <w:jc w:val="both"/>
              <w:rPr>
                <w:rFonts w:cs="Arial"/>
                <w:sz w:val="22"/>
                <w:szCs w:val="22"/>
              </w:rPr>
            </w:pPr>
          </w:p>
        </w:tc>
      </w:tr>
      <w:tr w:rsidR="00FF3437" w:rsidRPr="009B0F7D" w14:paraId="10362F55"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77777777" w:rsidR="005F30C3" w:rsidRPr="009B0F7D" w:rsidRDefault="005F30C3" w:rsidP="00D05B67">
            <w:pPr>
              <w:jc w:val="both"/>
              <w:rPr>
                <w:rFonts w:cs="Arial"/>
                <w:sz w:val="22"/>
                <w:szCs w:val="22"/>
              </w:rPr>
            </w:pPr>
            <w:r w:rsidRPr="009B0F7D">
              <w:rPr>
                <w:rFonts w:cs="Arial"/>
                <w:sz w:val="22"/>
                <w:szCs w:val="22"/>
              </w:rPr>
              <w:t>Concepto de Abogacía de la Competencia de la Superintendencia de Industria y Comercio</w:t>
            </w:r>
          </w:p>
          <w:p w14:paraId="7FEE1A87" w14:textId="77777777" w:rsidR="005F30C3" w:rsidRPr="009B0F7D" w:rsidRDefault="005F30C3" w:rsidP="00D05B67">
            <w:pPr>
              <w:jc w:val="both"/>
              <w:rPr>
                <w:rFonts w:cs="Arial"/>
                <w:i/>
                <w:sz w:val="22"/>
                <w:szCs w:val="22"/>
              </w:rPr>
            </w:pPr>
            <w:r w:rsidRPr="009B0F7D">
              <w:rPr>
                <w:rFonts w:cs="Arial"/>
                <w:i/>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DDB4C96" w14:textId="58F14E07" w:rsidR="005F30C3" w:rsidRPr="009B0F7D" w:rsidRDefault="005F30C3" w:rsidP="00D05B67">
            <w:pPr>
              <w:jc w:val="both"/>
              <w:rPr>
                <w:rFonts w:cs="Arial"/>
                <w:sz w:val="22"/>
                <w:szCs w:val="22"/>
              </w:rPr>
            </w:pPr>
          </w:p>
        </w:tc>
      </w:tr>
      <w:tr w:rsidR="00FF3437" w:rsidRPr="009B0F7D" w14:paraId="0D906411"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77777777" w:rsidR="005F30C3" w:rsidRPr="009B0F7D" w:rsidRDefault="005F30C3" w:rsidP="00D05B67">
            <w:pPr>
              <w:jc w:val="both"/>
              <w:rPr>
                <w:rFonts w:cs="Arial"/>
                <w:sz w:val="22"/>
                <w:szCs w:val="22"/>
              </w:rPr>
            </w:pPr>
            <w:r w:rsidRPr="009B0F7D">
              <w:rPr>
                <w:rFonts w:cs="Arial"/>
                <w:sz w:val="22"/>
                <w:szCs w:val="22"/>
              </w:rPr>
              <w:t>Concepto de aprobación nuevos trámites del Departamento Administrativo de la Función Pública</w:t>
            </w:r>
          </w:p>
          <w:p w14:paraId="701A5B9E" w14:textId="77777777" w:rsidR="005F30C3" w:rsidRPr="009B0F7D" w:rsidRDefault="005F30C3" w:rsidP="00D05B67">
            <w:pPr>
              <w:jc w:val="both"/>
              <w:rPr>
                <w:rFonts w:cs="Arial"/>
                <w:sz w:val="22"/>
                <w:szCs w:val="22"/>
              </w:rPr>
            </w:pPr>
            <w:r w:rsidRPr="009B0F7D">
              <w:rPr>
                <w:rFonts w:cs="Arial"/>
                <w:i/>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83E5293" w14:textId="3C4B496C" w:rsidR="005F30C3" w:rsidRPr="009B0F7D" w:rsidRDefault="005F30C3" w:rsidP="00D05B67">
            <w:pPr>
              <w:jc w:val="both"/>
              <w:rPr>
                <w:rFonts w:cs="Arial"/>
                <w:sz w:val="22"/>
                <w:szCs w:val="22"/>
              </w:rPr>
            </w:pPr>
          </w:p>
        </w:tc>
      </w:tr>
      <w:tr w:rsidR="00FF3437" w:rsidRPr="009B0F7D" w14:paraId="79071207" w14:textId="77777777" w:rsidTr="6E80773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Pr="009B0F7D" w:rsidRDefault="005F30C3" w:rsidP="00084B49">
            <w:pPr>
              <w:jc w:val="both"/>
              <w:rPr>
                <w:rFonts w:cs="Arial"/>
                <w:sz w:val="22"/>
                <w:szCs w:val="22"/>
              </w:rPr>
            </w:pPr>
            <w:r w:rsidRPr="009B0F7D">
              <w:rPr>
                <w:rFonts w:cs="Arial"/>
                <w:sz w:val="22"/>
                <w:szCs w:val="22"/>
              </w:rPr>
              <w:t xml:space="preserve">Otro </w:t>
            </w:r>
          </w:p>
          <w:p w14:paraId="100EECDE" w14:textId="77777777" w:rsidR="005F30C3" w:rsidRPr="009B0F7D" w:rsidRDefault="005F30C3" w:rsidP="00084B49">
            <w:pPr>
              <w:jc w:val="both"/>
              <w:rPr>
                <w:rFonts w:cs="Arial"/>
                <w:sz w:val="22"/>
                <w:szCs w:val="22"/>
              </w:rPr>
            </w:pPr>
            <w:r w:rsidRPr="009B0F7D">
              <w:rPr>
                <w:rFonts w:cs="Arial"/>
                <w:i/>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AA65004" w14:textId="2F4C823C" w:rsidR="005F30C3" w:rsidRPr="009B0F7D" w:rsidRDefault="005F30C3" w:rsidP="00D05B67">
            <w:pPr>
              <w:jc w:val="both"/>
              <w:rPr>
                <w:rFonts w:cs="Arial"/>
                <w:sz w:val="22"/>
                <w:szCs w:val="22"/>
              </w:rPr>
            </w:pPr>
          </w:p>
        </w:tc>
      </w:tr>
    </w:tbl>
    <w:p w14:paraId="77F28413" w14:textId="63B752B0" w:rsidR="75EF3542" w:rsidRPr="009B0F7D" w:rsidRDefault="75EF3542"/>
    <w:p w14:paraId="3A0FF5F2" w14:textId="77777777" w:rsidR="00301DC2" w:rsidRPr="009B0F7D" w:rsidRDefault="00301DC2" w:rsidP="00587695">
      <w:pPr>
        <w:ind w:right="-377"/>
        <w:jc w:val="both"/>
        <w:rPr>
          <w:rFonts w:cs="Arial"/>
          <w:sz w:val="22"/>
          <w:szCs w:val="22"/>
        </w:rPr>
      </w:pPr>
    </w:p>
    <w:p w14:paraId="5630AD66" w14:textId="77777777" w:rsidR="00E54757" w:rsidRPr="009B0F7D" w:rsidRDefault="00E54757" w:rsidP="00696582">
      <w:pPr>
        <w:ind w:left="-1276" w:right="-377" w:firstLine="283"/>
        <w:jc w:val="both"/>
        <w:rPr>
          <w:rFonts w:cs="Arial"/>
          <w:b/>
          <w:sz w:val="22"/>
          <w:szCs w:val="22"/>
        </w:rPr>
      </w:pPr>
    </w:p>
    <w:p w14:paraId="68943B0B" w14:textId="77777777" w:rsidR="00B66D03" w:rsidRPr="009B0F7D" w:rsidRDefault="000B30A6" w:rsidP="00696582">
      <w:pPr>
        <w:ind w:left="-1276" w:right="-377" w:firstLine="283"/>
        <w:jc w:val="both"/>
        <w:rPr>
          <w:rFonts w:cs="Arial"/>
          <w:b/>
          <w:sz w:val="22"/>
          <w:szCs w:val="22"/>
        </w:rPr>
      </w:pPr>
      <w:r w:rsidRPr="009B0F7D">
        <w:rPr>
          <w:rFonts w:cs="Arial"/>
          <w:b/>
          <w:sz w:val="22"/>
          <w:szCs w:val="22"/>
        </w:rPr>
        <w:t>Aprobó</w:t>
      </w:r>
      <w:r w:rsidR="00CB4D37" w:rsidRPr="009B0F7D">
        <w:rPr>
          <w:rFonts w:cs="Arial"/>
          <w:b/>
          <w:sz w:val="22"/>
          <w:szCs w:val="22"/>
        </w:rPr>
        <w:t>:</w:t>
      </w:r>
    </w:p>
    <w:p w14:paraId="61829076" w14:textId="77777777" w:rsidR="00B66D03" w:rsidRPr="009B0F7D" w:rsidRDefault="00B66D03" w:rsidP="00086B16">
      <w:pPr>
        <w:ind w:left="-1276" w:right="-377"/>
        <w:jc w:val="both"/>
        <w:rPr>
          <w:rFonts w:cs="Arial"/>
          <w:sz w:val="22"/>
          <w:szCs w:val="22"/>
        </w:rPr>
      </w:pPr>
    </w:p>
    <w:p w14:paraId="2BA226A1" w14:textId="77777777" w:rsidR="007E4CE3" w:rsidRPr="009B0F7D" w:rsidRDefault="007E4CE3" w:rsidP="00086B16">
      <w:pPr>
        <w:ind w:left="-1276" w:right="-377"/>
        <w:jc w:val="both"/>
        <w:rPr>
          <w:rFonts w:cs="Arial"/>
          <w:sz w:val="22"/>
          <w:szCs w:val="22"/>
        </w:rPr>
      </w:pPr>
    </w:p>
    <w:p w14:paraId="17AD93B2" w14:textId="77777777" w:rsidR="00F16839" w:rsidRPr="009B0F7D" w:rsidRDefault="00F16839" w:rsidP="0075705D">
      <w:pPr>
        <w:ind w:right="-377"/>
        <w:jc w:val="both"/>
        <w:rPr>
          <w:rFonts w:cs="Arial"/>
          <w:sz w:val="22"/>
          <w:szCs w:val="22"/>
        </w:rPr>
      </w:pPr>
    </w:p>
    <w:p w14:paraId="0DE4B5B7" w14:textId="77777777" w:rsidR="00014D67" w:rsidRPr="009B0F7D" w:rsidRDefault="00014D67" w:rsidP="00086B16">
      <w:pPr>
        <w:ind w:left="-1276" w:right="-377"/>
        <w:jc w:val="both"/>
        <w:rPr>
          <w:rFonts w:cs="Arial"/>
          <w:sz w:val="22"/>
          <w:szCs w:val="22"/>
        </w:rPr>
      </w:pPr>
    </w:p>
    <w:p w14:paraId="002F0FA1" w14:textId="77777777" w:rsidR="00B876BC" w:rsidRPr="009B0F7D" w:rsidRDefault="00B876BC" w:rsidP="00B876BC">
      <w:pPr>
        <w:pStyle w:val="Listavistosa-nfasis11"/>
        <w:jc w:val="both"/>
        <w:rPr>
          <w:rFonts w:ascii="Arial" w:hAnsi="Arial" w:cs="Arial"/>
          <w:b/>
        </w:rPr>
      </w:pPr>
      <w:r w:rsidRPr="009B0F7D">
        <w:rPr>
          <w:rFonts w:ascii="Arial" w:hAnsi="Arial" w:cs="Arial"/>
          <w:b/>
        </w:rPr>
        <w:t>_________________________________________________</w:t>
      </w:r>
    </w:p>
    <w:p w14:paraId="287739A1" w14:textId="77777777" w:rsidR="00B876BC" w:rsidRPr="009B0F7D" w:rsidRDefault="00B876BC" w:rsidP="00B876BC">
      <w:pPr>
        <w:pStyle w:val="Listavistosa-nfasis11"/>
        <w:jc w:val="both"/>
        <w:rPr>
          <w:rFonts w:ascii="Arial" w:hAnsi="Arial" w:cs="Arial"/>
          <w:b/>
        </w:rPr>
      </w:pPr>
      <w:r w:rsidRPr="009B0F7D">
        <w:rPr>
          <w:rFonts w:ascii="Arial" w:hAnsi="Arial" w:cs="Arial"/>
          <w:b/>
        </w:rPr>
        <w:t>Sergio Valdes Beltrán</w:t>
      </w:r>
    </w:p>
    <w:p w14:paraId="00EA9A6E" w14:textId="77777777" w:rsidR="00B876BC" w:rsidRPr="009B0F7D" w:rsidRDefault="00B876BC" w:rsidP="00B876BC">
      <w:pPr>
        <w:pStyle w:val="Listavistosa-nfasis11"/>
        <w:jc w:val="both"/>
        <w:rPr>
          <w:rFonts w:ascii="Arial" w:hAnsi="Arial" w:cs="Arial"/>
          <w:b/>
        </w:rPr>
      </w:pPr>
      <w:r w:rsidRPr="009B0F7D">
        <w:rPr>
          <w:rFonts w:ascii="Arial" w:hAnsi="Arial" w:cs="Arial"/>
          <w:b/>
        </w:rPr>
        <w:t>Viceministro de Conectividad</w:t>
      </w:r>
    </w:p>
    <w:p w14:paraId="43330DA8" w14:textId="77777777" w:rsidR="00B876BC" w:rsidRPr="009B0F7D" w:rsidRDefault="00B876BC" w:rsidP="00B876BC">
      <w:pPr>
        <w:pStyle w:val="Listavistosa-nfasis11"/>
        <w:jc w:val="both"/>
        <w:rPr>
          <w:rFonts w:ascii="Arial" w:hAnsi="Arial" w:cs="Arial"/>
          <w:b/>
        </w:rPr>
      </w:pPr>
      <w:r w:rsidRPr="009B0F7D">
        <w:rPr>
          <w:rFonts w:ascii="Arial" w:hAnsi="Arial" w:cs="Arial"/>
          <w:b/>
        </w:rPr>
        <w:t>Ministerio de Tecnologías de la Información y las Comunicaciones</w:t>
      </w:r>
    </w:p>
    <w:p w14:paraId="189FB981" w14:textId="77777777" w:rsidR="00B876BC" w:rsidRPr="009B0F7D" w:rsidRDefault="00B876BC" w:rsidP="00B876BC">
      <w:pPr>
        <w:pStyle w:val="Listavistosa-nfasis11"/>
        <w:jc w:val="both"/>
        <w:rPr>
          <w:rFonts w:ascii="Arial" w:hAnsi="Arial" w:cs="Arial"/>
          <w:b/>
        </w:rPr>
      </w:pPr>
    </w:p>
    <w:p w14:paraId="429C5624" w14:textId="77777777" w:rsidR="00B876BC" w:rsidRPr="009B0F7D" w:rsidRDefault="00B876BC" w:rsidP="00B876BC">
      <w:pPr>
        <w:pStyle w:val="Listavistosa-nfasis11"/>
        <w:jc w:val="both"/>
        <w:rPr>
          <w:rFonts w:ascii="Arial" w:hAnsi="Arial" w:cs="Arial"/>
          <w:b/>
        </w:rPr>
      </w:pPr>
    </w:p>
    <w:p w14:paraId="02A17979" w14:textId="77777777" w:rsidR="00B876BC" w:rsidRPr="009B0F7D" w:rsidRDefault="00B876BC" w:rsidP="00B876BC">
      <w:pPr>
        <w:pStyle w:val="Listavistosa-nfasis11"/>
        <w:jc w:val="both"/>
        <w:rPr>
          <w:rFonts w:ascii="Arial" w:hAnsi="Arial" w:cs="Arial"/>
          <w:b/>
        </w:rPr>
      </w:pPr>
      <w:r w:rsidRPr="009B0F7D">
        <w:rPr>
          <w:rFonts w:ascii="Arial" w:hAnsi="Arial" w:cs="Arial"/>
          <w:b/>
        </w:rPr>
        <w:t>_________________________________________________</w:t>
      </w:r>
    </w:p>
    <w:p w14:paraId="07BDDAFF" w14:textId="77777777" w:rsidR="00B876BC" w:rsidRPr="009B0F7D" w:rsidRDefault="00B876BC" w:rsidP="00B876BC">
      <w:pPr>
        <w:pStyle w:val="Listavistosa-nfasis11"/>
        <w:jc w:val="both"/>
        <w:rPr>
          <w:rFonts w:ascii="Arial" w:hAnsi="Arial" w:cs="Arial"/>
          <w:b/>
        </w:rPr>
      </w:pPr>
      <w:r w:rsidRPr="009B0F7D">
        <w:rPr>
          <w:rFonts w:ascii="Arial" w:hAnsi="Arial" w:cs="Arial"/>
          <w:b/>
        </w:rPr>
        <w:t>Carolina Figueredo Patiño</w:t>
      </w:r>
    </w:p>
    <w:p w14:paraId="1987196C" w14:textId="60F6A04C" w:rsidR="00B876BC" w:rsidRPr="009B0F7D" w:rsidRDefault="00B876BC" w:rsidP="00B876BC">
      <w:pPr>
        <w:pStyle w:val="Listavistosa-nfasis11"/>
        <w:jc w:val="both"/>
        <w:rPr>
          <w:rFonts w:ascii="Arial" w:hAnsi="Arial" w:cs="Arial"/>
          <w:b/>
        </w:rPr>
      </w:pPr>
      <w:r w:rsidRPr="009B0F7D">
        <w:rPr>
          <w:rFonts w:ascii="Arial" w:hAnsi="Arial" w:cs="Arial"/>
          <w:b/>
        </w:rPr>
        <w:t>Director</w:t>
      </w:r>
      <w:r w:rsidR="009B0F7D">
        <w:rPr>
          <w:rFonts w:ascii="Arial" w:hAnsi="Arial" w:cs="Arial"/>
          <w:b/>
        </w:rPr>
        <w:t>a (e)</w:t>
      </w:r>
      <w:bookmarkStart w:id="3" w:name="_GoBack"/>
      <w:bookmarkEnd w:id="3"/>
      <w:r w:rsidRPr="009B0F7D">
        <w:rPr>
          <w:rFonts w:ascii="Arial" w:hAnsi="Arial" w:cs="Arial"/>
          <w:b/>
        </w:rPr>
        <w:t xml:space="preserve"> de Industria de Comunicaciones </w:t>
      </w:r>
    </w:p>
    <w:p w14:paraId="6EE6F1DB" w14:textId="77777777" w:rsidR="00B876BC" w:rsidRPr="009B0F7D" w:rsidRDefault="00B876BC" w:rsidP="00B876BC">
      <w:pPr>
        <w:pStyle w:val="Listavistosa-nfasis11"/>
        <w:jc w:val="both"/>
        <w:rPr>
          <w:rFonts w:ascii="Arial" w:hAnsi="Arial" w:cs="Arial"/>
          <w:b/>
        </w:rPr>
      </w:pPr>
      <w:r w:rsidRPr="009B0F7D">
        <w:rPr>
          <w:rFonts w:ascii="Arial" w:hAnsi="Arial" w:cs="Arial"/>
          <w:b/>
        </w:rPr>
        <w:t>Ministerio de Tecnologías de la Información y las Comunicaciones</w:t>
      </w:r>
    </w:p>
    <w:p w14:paraId="2CD940E7" w14:textId="77777777" w:rsidR="00B876BC" w:rsidRPr="009B0F7D" w:rsidRDefault="00B876BC" w:rsidP="00B876BC">
      <w:pPr>
        <w:pStyle w:val="Listavistosa-nfasis11"/>
        <w:jc w:val="both"/>
        <w:rPr>
          <w:rFonts w:ascii="Arial" w:hAnsi="Arial" w:cs="Arial"/>
          <w:b/>
        </w:rPr>
      </w:pPr>
    </w:p>
    <w:p w14:paraId="259BB42A" w14:textId="77777777" w:rsidR="00B876BC" w:rsidRPr="009B0F7D" w:rsidRDefault="00B876BC" w:rsidP="00B876BC">
      <w:pPr>
        <w:pStyle w:val="Listavistosa-nfasis11"/>
        <w:jc w:val="both"/>
        <w:rPr>
          <w:rFonts w:ascii="Arial" w:hAnsi="Arial" w:cs="Arial"/>
          <w:b/>
        </w:rPr>
      </w:pPr>
    </w:p>
    <w:p w14:paraId="615B655B" w14:textId="77777777" w:rsidR="00B876BC" w:rsidRPr="009B0F7D" w:rsidRDefault="00B876BC" w:rsidP="00B876BC">
      <w:pPr>
        <w:pStyle w:val="Listavistosa-nfasis11"/>
        <w:jc w:val="both"/>
        <w:rPr>
          <w:rFonts w:ascii="Arial" w:hAnsi="Arial" w:cs="Arial"/>
          <w:b/>
        </w:rPr>
      </w:pPr>
      <w:r w:rsidRPr="009B0F7D">
        <w:rPr>
          <w:rFonts w:ascii="Arial" w:hAnsi="Arial" w:cs="Arial"/>
          <w:b/>
        </w:rPr>
        <w:t>_________________________________________________</w:t>
      </w:r>
    </w:p>
    <w:p w14:paraId="0A4C3372" w14:textId="77777777" w:rsidR="00B876BC" w:rsidRPr="009B0F7D" w:rsidRDefault="00B876BC" w:rsidP="00B876BC">
      <w:pPr>
        <w:pStyle w:val="Listavistosa-nfasis11"/>
        <w:jc w:val="both"/>
        <w:rPr>
          <w:rFonts w:ascii="Arial" w:hAnsi="Arial" w:cs="Arial"/>
          <w:b/>
        </w:rPr>
      </w:pPr>
      <w:r w:rsidRPr="009B0F7D">
        <w:rPr>
          <w:rFonts w:ascii="Arial" w:hAnsi="Arial" w:cs="Arial"/>
          <w:b/>
        </w:rPr>
        <w:t>Maria Camila Gutierrez Torres</w:t>
      </w:r>
    </w:p>
    <w:p w14:paraId="285E58A8" w14:textId="77777777" w:rsidR="00B876BC" w:rsidRPr="009B0F7D" w:rsidRDefault="00B876BC" w:rsidP="00B876BC">
      <w:pPr>
        <w:pStyle w:val="Listavistosa-nfasis11"/>
        <w:jc w:val="both"/>
        <w:rPr>
          <w:rFonts w:ascii="Arial" w:hAnsi="Arial" w:cs="Arial"/>
          <w:b/>
        </w:rPr>
      </w:pPr>
      <w:r w:rsidRPr="009B0F7D">
        <w:rPr>
          <w:rFonts w:ascii="Arial" w:hAnsi="Arial" w:cs="Arial"/>
          <w:b/>
        </w:rPr>
        <w:t>Directora Jurídica</w:t>
      </w:r>
    </w:p>
    <w:p w14:paraId="467C005E" w14:textId="77777777" w:rsidR="00B876BC" w:rsidRPr="00FF3437" w:rsidRDefault="00B876BC" w:rsidP="00B876BC">
      <w:pPr>
        <w:pStyle w:val="Listavistosa-nfasis11"/>
        <w:jc w:val="both"/>
        <w:rPr>
          <w:rFonts w:ascii="Arial" w:hAnsi="Arial" w:cs="Arial"/>
          <w:b/>
        </w:rPr>
      </w:pPr>
      <w:r w:rsidRPr="009B0F7D">
        <w:rPr>
          <w:rFonts w:ascii="Arial" w:hAnsi="Arial" w:cs="Arial"/>
          <w:b/>
        </w:rPr>
        <w:t>Ministerio de Tecnologías de la Información y las Comunicaciones</w:t>
      </w:r>
    </w:p>
    <w:p w14:paraId="60B624B4" w14:textId="48870DF3" w:rsidR="00B876BC" w:rsidRPr="00FF3437" w:rsidRDefault="00B876BC" w:rsidP="00B876BC">
      <w:pPr>
        <w:pStyle w:val="Listavistosa-nfasis11"/>
        <w:jc w:val="both"/>
        <w:rPr>
          <w:rFonts w:ascii="Arial" w:hAnsi="Arial" w:cs="Arial"/>
          <w:b/>
        </w:rPr>
      </w:pPr>
    </w:p>
    <w:p w14:paraId="5C53AE06" w14:textId="1147F233" w:rsidR="00DC71C8" w:rsidRPr="00FF3437" w:rsidRDefault="00DC71C8" w:rsidP="004D095C">
      <w:pPr>
        <w:pStyle w:val="Listavistosa-nfasis11"/>
        <w:jc w:val="both"/>
        <w:rPr>
          <w:rFonts w:ascii="Arial" w:hAnsi="Arial" w:cs="Arial"/>
          <w:b/>
        </w:rPr>
      </w:pPr>
    </w:p>
    <w:p w14:paraId="10235616" w14:textId="36AA4F60" w:rsidR="00DC71C8" w:rsidRPr="00FF3437" w:rsidRDefault="00DC71C8" w:rsidP="004D095C">
      <w:pPr>
        <w:pStyle w:val="Listavistosa-nfasis11"/>
        <w:jc w:val="both"/>
        <w:rPr>
          <w:rFonts w:ascii="Arial" w:hAnsi="Arial" w:cs="Arial"/>
          <w:b/>
        </w:rPr>
      </w:pPr>
    </w:p>
    <w:sectPr w:rsidR="00DC71C8" w:rsidRPr="00FF3437" w:rsidSect="00696582">
      <w:headerReference w:type="default" r:id="rId12"/>
      <w:footerReference w:type="default" r:id="rId13"/>
      <w:headerReference w:type="first" r:id="rId14"/>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15510" w14:textId="77777777" w:rsidR="00E46B0C" w:rsidRDefault="00E46B0C">
      <w:r>
        <w:separator/>
      </w:r>
    </w:p>
  </w:endnote>
  <w:endnote w:type="continuationSeparator" w:id="0">
    <w:p w14:paraId="58C5244F" w14:textId="77777777" w:rsidR="00E46B0C" w:rsidRDefault="00E46B0C">
      <w:r>
        <w:continuationSeparator/>
      </w:r>
    </w:p>
  </w:endnote>
  <w:endnote w:type="continuationNotice" w:id="1">
    <w:p w14:paraId="3A8D91AA" w14:textId="77777777" w:rsidR="00E46B0C" w:rsidRDefault="00E46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296FEF7D"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C76F" w14:textId="77777777" w:rsidR="00E46B0C" w:rsidRDefault="00E46B0C">
      <w:r>
        <w:separator/>
      </w:r>
    </w:p>
  </w:footnote>
  <w:footnote w:type="continuationSeparator" w:id="0">
    <w:p w14:paraId="552A23B8" w14:textId="77777777" w:rsidR="00E46B0C" w:rsidRDefault="00E46B0C">
      <w:r>
        <w:continuationSeparator/>
      </w:r>
    </w:p>
  </w:footnote>
  <w:footnote w:type="continuationNotice" w:id="1">
    <w:p w14:paraId="1265A43F" w14:textId="77777777" w:rsidR="00E46B0C" w:rsidRDefault="00E46B0C"/>
  </w:footnote>
  <w:footnote w:id="2">
    <w:p w14:paraId="49E81D48" w14:textId="50685B7A" w:rsidR="00FF72C5" w:rsidRPr="00C56D55" w:rsidRDefault="00FF72C5" w:rsidP="00FF72C5">
      <w:pPr>
        <w:pStyle w:val="Textonotapie"/>
        <w:rPr>
          <w:rFonts w:ascii="Arial" w:hAnsi="Arial" w:cs="Arial"/>
          <w:sz w:val="16"/>
          <w:szCs w:val="16"/>
          <w:lang w:val="es-MX"/>
        </w:rPr>
      </w:pPr>
      <w:r w:rsidRPr="00C56D55">
        <w:rPr>
          <w:rStyle w:val="Refdenotaalpie"/>
          <w:rFonts w:ascii="Arial" w:hAnsi="Arial" w:cs="Arial"/>
          <w:sz w:val="16"/>
          <w:szCs w:val="16"/>
        </w:rPr>
        <w:footnoteRef/>
      </w:r>
      <w:r w:rsidRPr="00C56D55">
        <w:rPr>
          <w:rFonts w:ascii="Arial" w:hAnsi="Arial" w:cs="Arial"/>
          <w:sz w:val="16"/>
          <w:szCs w:val="16"/>
          <w:lang w:val="es-CO"/>
        </w:rPr>
        <w:t xml:space="preserve"> C</w:t>
      </w:r>
      <w:r w:rsidR="0021425F">
        <w:rPr>
          <w:rFonts w:ascii="Arial" w:hAnsi="Arial" w:cs="Arial"/>
          <w:sz w:val="16"/>
          <w:szCs w:val="16"/>
          <w:lang w:val="es-CO"/>
        </w:rPr>
        <w:t>RC</w:t>
      </w:r>
      <w:r w:rsidRPr="00C56D55">
        <w:rPr>
          <w:rFonts w:ascii="Arial" w:hAnsi="Arial" w:cs="Arial"/>
          <w:sz w:val="16"/>
          <w:szCs w:val="16"/>
          <w:lang w:val="es-CO"/>
        </w:rPr>
        <w:t xml:space="preserve">. Consultar: </w:t>
      </w:r>
      <w:hyperlink r:id="rId1" w:history="1">
        <w:r w:rsidR="00EB3A33" w:rsidRPr="0033710E">
          <w:rPr>
            <w:rStyle w:val="Hipervnculo"/>
            <w:rFonts w:ascii="Arial" w:hAnsi="Arial" w:cs="Arial"/>
            <w:sz w:val="16"/>
            <w:szCs w:val="16"/>
            <w:lang w:val="es-CO"/>
          </w:rPr>
          <w:t>https://www.crcom.gov.co/es/proyectos-regulatorios/2000-71-17</w:t>
        </w:r>
      </w:hyperlink>
    </w:p>
  </w:footnote>
  <w:footnote w:id="3">
    <w:p w14:paraId="359D90E0" w14:textId="23D037FC" w:rsidR="009B401D" w:rsidRPr="00824D6C" w:rsidRDefault="009B401D" w:rsidP="00824D6C">
      <w:pPr>
        <w:pStyle w:val="Textonotapie"/>
        <w:jc w:val="both"/>
        <w:rPr>
          <w:rFonts w:ascii="Arial" w:hAnsi="Arial" w:cs="Arial"/>
          <w:sz w:val="16"/>
          <w:szCs w:val="16"/>
          <w:lang w:val="es-ES"/>
        </w:rPr>
      </w:pPr>
      <w:r w:rsidRPr="00824D6C">
        <w:rPr>
          <w:rStyle w:val="Refdenotaalpie"/>
          <w:rFonts w:ascii="Arial" w:hAnsi="Arial" w:cs="Arial"/>
          <w:sz w:val="16"/>
          <w:szCs w:val="16"/>
        </w:rPr>
        <w:footnoteRef/>
      </w:r>
      <w:r w:rsidRPr="00824D6C">
        <w:rPr>
          <w:rFonts w:ascii="Arial" w:hAnsi="Arial" w:cs="Arial"/>
          <w:sz w:val="16"/>
          <w:szCs w:val="16"/>
          <w:lang w:val="es-ES"/>
        </w:rPr>
        <w:t xml:space="preserve"> </w:t>
      </w:r>
      <w:r w:rsidRPr="00824D6C">
        <w:rPr>
          <w:rFonts w:ascii="Arial" w:hAnsi="Arial" w:cs="Arial"/>
          <w:sz w:val="16"/>
          <w:szCs w:val="16"/>
          <w:lang w:val="es-CO"/>
        </w:rPr>
        <w:t>CRC.  Simplificación del Marco Regulatorio para la Restricción de Equipos Terminales Hurtados.  Documento de Resultados del Análisis de Impacto Normativo.  Diseño Regulatorio.  Octubre de 2020.  Recuperado de:</w:t>
      </w:r>
      <w:r w:rsidR="00EC3944" w:rsidRPr="00824D6C">
        <w:rPr>
          <w:rFonts w:ascii="Arial" w:hAnsi="Arial" w:cs="Arial"/>
          <w:sz w:val="16"/>
          <w:szCs w:val="16"/>
          <w:lang w:val="es-CO"/>
        </w:rPr>
        <w:t xml:space="preserve">, </w:t>
      </w:r>
      <w:hyperlink r:id="rId2" w:history="1">
        <w:r w:rsidR="00EB3A33" w:rsidRPr="0033710E">
          <w:rPr>
            <w:rStyle w:val="Hipervnculo"/>
            <w:rFonts w:ascii="Arial" w:hAnsi="Arial" w:cs="Arial"/>
            <w:sz w:val="16"/>
            <w:szCs w:val="16"/>
            <w:lang w:val="es-CO"/>
          </w:rPr>
          <w:t>https://crcom.gov.co/es/proyectos-regulatorios/2000-71-17</w:t>
        </w:r>
      </w:hyperlink>
      <w:r w:rsidRPr="00824D6C">
        <w:rPr>
          <w:rFonts w:ascii="Arial" w:hAnsi="Arial" w:cs="Arial"/>
          <w:sz w:val="16"/>
          <w:szCs w:val="16"/>
          <w:lang w:val="es-CO"/>
        </w:rPr>
        <w:t>.</w:t>
      </w:r>
    </w:p>
  </w:footnote>
  <w:footnote w:id="4">
    <w:p w14:paraId="69F5EAB3" w14:textId="2864697B" w:rsidR="003E6BDA" w:rsidRPr="004008C3" w:rsidRDefault="003E6BDA" w:rsidP="00824D6C">
      <w:pPr>
        <w:pStyle w:val="Textonotapie"/>
        <w:jc w:val="both"/>
        <w:rPr>
          <w:lang w:val="es-MX"/>
        </w:rPr>
      </w:pPr>
      <w:r w:rsidRPr="00824D6C">
        <w:rPr>
          <w:rStyle w:val="Refdenotaalpie"/>
          <w:rFonts w:ascii="Arial" w:hAnsi="Arial" w:cs="Arial"/>
          <w:sz w:val="16"/>
          <w:szCs w:val="16"/>
        </w:rPr>
        <w:footnoteRef/>
      </w:r>
      <w:r w:rsidRPr="00824D6C">
        <w:rPr>
          <w:rFonts w:ascii="Arial" w:hAnsi="Arial" w:cs="Arial"/>
          <w:sz w:val="16"/>
          <w:szCs w:val="16"/>
          <w:lang w:val="es-CO"/>
        </w:rPr>
        <w:t xml:space="preserve"> </w:t>
      </w:r>
      <w:r w:rsidRPr="00824D6C">
        <w:rPr>
          <w:rFonts w:ascii="Arial" w:hAnsi="Arial" w:cs="Arial"/>
          <w:sz w:val="16"/>
          <w:szCs w:val="16"/>
          <w:lang w:val="es-MX"/>
        </w:rPr>
        <w:t>Ibídem</w:t>
      </w:r>
    </w:p>
  </w:footnote>
  <w:footnote w:id="5">
    <w:p w14:paraId="338ED2F0" w14:textId="200CB375" w:rsidR="00F649AD" w:rsidRPr="0064131A" w:rsidRDefault="00F649AD" w:rsidP="00EF4108">
      <w:pPr>
        <w:pStyle w:val="Textonotapie"/>
        <w:jc w:val="both"/>
        <w:rPr>
          <w:rFonts w:ascii="Arial" w:hAnsi="Arial" w:cs="Arial"/>
          <w:sz w:val="16"/>
          <w:szCs w:val="16"/>
          <w:lang w:val="es-MX"/>
        </w:rPr>
      </w:pPr>
      <w:r w:rsidRPr="0064131A">
        <w:rPr>
          <w:rStyle w:val="Refdenotaalpie"/>
          <w:rFonts w:ascii="Arial" w:hAnsi="Arial" w:cs="Arial"/>
          <w:sz w:val="16"/>
          <w:szCs w:val="16"/>
        </w:rPr>
        <w:footnoteRef/>
      </w:r>
      <w:r w:rsidRPr="0064131A">
        <w:rPr>
          <w:rFonts w:ascii="Arial" w:hAnsi="Arial" w:cs="Arial"/>
          <w:sz w:val="16"/>
          <w:szCs w:val="16"/>
          <w:lang w:val="es-CO"/>
        </w:rPr>
        <w:t xml:space="preserve"> </w:t>
      </w:r>
      <w:r w:rsidR="00625F8F" w:rsidRPr="0064131A">
        <w:rPr>
          <w:rFonts w:ascii="Arial" w:hAnsi="Arial" w:cs="Arial"/>
          <w:sz w:val="16"/>
          <w:szCs w:val="16"/>
          <w:lang w:val="es-CO"/>
        </w:rPr>
        <w:t xml:space="preserve">CRC.  Simplificación del Marco Regulatorio para la Restricción de Equipos Terminales Hurtados.  Documento de Resultados del Análisis de Impacto Normativo.  Diseño Regulatorio.  Noviembre de 2021.  Recuperado de </w:t>
      </w:r>
      <w:hyperlink r:id="rId3" w:history="1">
        <w:r w:rsidRPr="0064131A">
          <w:rPr>
            <w:rStyle w:val="Hipervnculo"/>
            <w:rFonts w:ascii="Arial" w:hAnsi="Arial" w:cs="Arial"/>
            <w:sz w:val="16"/>
            <w:szCs w:val="16"/>
            <w:lang w:val="es-MX"/>
          </w:rPr>
          <w:t>https://www.crcom.gov.co/es/proyectos-regulatorios/2000-71-17</w:t>
        </w:r>
      </w:hyperlink>
      <w:r w:rsidRPr="0064131A">
        <w:rPr>
          <w:rFonts w:ascii="Arial" w:hAnsi="Arial" w:cs="Arial"/>
          <w:sz w:val="16"/>
          <w:szCs w:val="16"/>
          <w:lang w:val="es-MX"/>
        </w:rPr>
        <w:t xml:space="preserve">. </w:t>
      </w:r>
      <w:r w:rsidR="00625F8F" w:rsidRPr="0064131A">
        <w:rPr>
          <w:rFonts w:ascii="Arial" w:hAnsi="Arial" w:cs="Arial"/>
          <w:sz w:val="16"/>
          <w:szCs w:val="16"/>
          <w:lang w:val="es-CO"/>
        </w:rPr>
        <w:t>pág 41</w:t>
      </w:r>
      <w:r w:rsidR="00625F8F" w:rsidRPr="0064131A">
        <w:rPr>
          <w:rFonts w:ascii="Arial" w:hAnsi="Arial" w:cs="Arial"/>
          <w:sz w:val="16"/>
          <w:szCs w:val="16"/>
          <w:lang w:val="es-MX"/>
        </w:rPr>
        <w:t>.</w:t>
      </w:r>
    </w:p>
  </w:footnote>
  <w:footnote w:id="6">
    <w:p w14:paraId="138AB14C" w14:textId="48C55A37" w:rsidR="009C36DE" w:rsidRPr="0064131A" w:rsidRDefault="009C36DE" w:rsidP="00EF4108">
      <w:pPr>
        <w:pStyle w:val="Textonotapie"/>
        <w:jc w:val="both"/>
        <w:rPr>
          <w:rFonts w:ascii="Arial" w:hAnsi="Arial" w:cs="Arial"/>
          <w:sz w:val="16"/>
          <w:szCs w:val="16"/>
          <w:lang w:val="es-ES"/>
        </w:rPr>
      </w:pPr>
      <w:r w:rsidRPr="0064131A">
        <w:rPr>
          <w:rStyle w:val="Refdenotaalpie"/>
          <w:rFonts w:ascii="Arial" w:hAnsi="Arial" w:cs="Arial"/>
          <w:sz w:val="16"/>
          <w:szCs w:val="16"/>
        </w:rPr>
        <w:footnoteRef/>
      </w:r>
      <w:r w:rsidRPr="0064131A">
        <w:rPr>
          <w:rFonts w:ascii="Arial" w:hAnsi="Arial" w:cs="Arial"/>
          <w:sz w:val="16"/>
          <w:szCs w:val="16"/>
          <w:lang w:val="es-ES"/>
        </w:rPr>
        <w:t xml:space="preserve"> </w:t>
      </w:r>
      <w:r w:rsidRPr="0064131A">
        <w:rPr>
          <w:rFonts w:ascii="Arial" w:hAnsi="Arial" w:cs="Arial"/>
          <w:sz w:val="16"/>
          <w:szCs w:val="16"/>
          <w:lang w:val="es-CO"/>
        </w:rPr>
        <w:t>Entre otras, comprend</w:t>
      </w:r>
      <w:r w:rsidR="00D973A9" w:rsidRPr="0064131A">
        <w:rPr>
          <w:rFonts w:ascii="Arial" w:hAnsi="Arial" w:cs="Arial"/>
          <w:sz w:val="16"/>
          <w:szCs w:val="16"/>
          <w:lang w:val="es-CO"/>
        </w:rPr>
        <w:t>i</w:t>
      </w:r>
      <w:r w:rsidR="00D973A9" w:rsidRPr="0064131A">
        <w:rPr>
          <w:rFonts w:ascii="Arial" w:hAnsi="Arial" w:cs="Arial"/>
          <w:sz w:val="16"/>
          <w:szCs w:val="16"/>
          <w:lang w:val="es-ES"/>
        </w:rPr>
        <w:t>ó</w:t>
      </w:r>
      <w:r w:rsidRPr="0064131A">
        <w:rPr>
          <w:rFonts w:ascii="Arial" w:hAnsi="Arial" w:cs="Arial"/>
          <w:sz w:val="16"/>
          <w:szCs w:val="16"/>
          <w:lang w:val="es-CO"/>
        </w:rPr>
        <w:t xml:space="preserve"> la realización de mesas de trabajo con actores del sector de telecomunicaciones, Ministerio de TIC incluido, y las entidades que participan de la estrategia como la Policía Nacional, Fiscalía General de la Nación, Direcci</w:t>
      </w:r>
      <w:r w:rsidR="00E266FB" w:rsidRPr="0064131A">
        <w:rPr>
          <w:rFonts w:ascii="Arial" w:hAnsi="Arial" w:cs="Arial"/>
          <w:sz w:val="16"/>
          <w:szCs w:val="16"/>
          <w:lang w:val="es-ES"/>
        </w:rPr>
        <w:t>ó</w:t>
      </w:r>
      <w:r w:rsidRPr="0064131A">
        <w:rPr>
          <w:rFonts w:ascii="Arial" w:hAnsi="Arial" w:cs="Arial"/>
          <w:sz w:val="16"/>
          <w:szCs w:val="16"/>
          <w:lang w:val="es-CO"/>
        </w:rPr>
        <w:t>n de Impuestos y Aduanas Nacionales (DIAN).</w:t>
      </w:r>
    </w:p>
  </w:footnote>
  <w:footnote w:id="7">
    <w:p w14:paraId="72753AC2" w14:textId="455EF8EF" w:rsidR="00BE5AF0" w:rsidRPr="00BE5AF0" w:rsidRDefault="00BE5AF0">
      <w:pPr>
        <w:pStyle w:val="Textonotapie"/>
        <w:rPr>
          <w:rFonts w:ascii="Arial Narrow" w:hAnsi="Arial Narrow"/>
          <w:lang w:val="es-CO"/>
        </w:rPr>
      </w:pPr>
      <w:r w:rsidRPr="00BE5AF0">
        <w:rPr>
          <w:rStyle w:val="Refdenotaalpie"/>
          <w:rFonts w:ascii="Arial Narrow" w:hAnsi="Arial Narrow"/>
        </w:rPr>
        <w:footnoteRef/>
      </w:r>
      <w:r w:rsidRPr="004008C3">
        <w:rPr>
          <w:rFonts w:ascii="Arial Narrow" w:hAnsi="Arial Narrow"/>
          <w:lang w:val="es-ES"/>
        </w:rPr>
        <w:t xml:space="preserve"> </w:t>
      </w:r>
      <w:r w:rsidRPr="00BE5AF0">
        <w:rPr>
          <w:rFonts w:ascii="Arial Narrow" w:hAnsi="Arial Narrow"/>
          <w:lang w:val="es-CO"/>
        </w:rPr>
        <w:t xml:space="preserve">Consultado en: </w:t>
      </w:r>
      <w:hyperlink r:id="rId4" w:history="1">
        <w:r w:rsidR="003147F6" w:rsidRPr="001E29FF">
          <w:rPr>
            <w:rStyle w:val="Hipervnculo"/>
            <w:rFonts w:ascii="Arial Narrow" w:hAnsi="Arial Narrow"/>
            <w:lang w:val="es-CO"/>
          </w:rPr>
          <w:t>https://www.crcom.gov.co/es/pagina/simplificacion-marco-regulatorio-para-restriccion-equipos-terminales-hurtados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39BFBC09" w14:textId="77777777" w:rsidTr="7D5E7BDC">
      <w:tc>
        <w:tcPr>
          <w:tcW w:w="4253" w:type="dxa"/>
          <w:shd w:val="clear" w:color="auto" w:fill="auto"/>
        </w:tcPr>
        <w:p w14:paraId="769D0D3C" w14:textId="77777777" w:rsidR="00696582" w:rsidRDefault="7D5E7BDC" w:rsidP="001447C1">
          <w:pPr>
            <w:pStyle w:val="Encabezado"/>
          </w:pPr>
          <w:r>
            <w:rPr>
              <w:noProof/>
            </w:rPr>
            <w:drawing>
              <wp:inline distT="0" distB="0" distL="0" distR="0" wp14:anchorId="0EE65B43" wp14:editId="2C3DEE13">
                <wp:extent cx="2562860" cy="5391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45AB840F"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54CD245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5535"/>
    </w:tblGrid>
    <w:tr w:rsidR="00350767" w14:paraId="78150ED2" w14:textId="77777777" w:rsidTr="7D5E7BDC">
      <w:tc>
        <w:tcPr>
          <w:tcW w:w="4253" w:type="dxa"/>
          <w:shd w:val="clear" w:color="auto" w:fill="auto"/>
        </w:tcPr>
        <w:p w14:paraId="680A4E5D" w14:textId="555DF43B" w:rsidR="00350767" w:rsidRDefault="00F95A9A">
          <w:pPr>
            <w:pStyle w:val="Encabezado"/>
          </w:pPr>
          <w:r>
            <w:rPr>
              <w:noProof/>
              <w:lang w:val="es-ES_tradnl"/>
            </w:rPr>
            <w:drawing>
              <wp:anchor distT="0" distB="0" distL="114300" distR="114300" simplePos="0" relativeHeight="251659264" behindDoc="0" locked="0" layoutInCell="1" allowOverlap="1" wp14:anchorId="106F6DA1" wp14:editId="1DCD6613">
                <wp:simplePos x="0" y="0"/>
                <wp:positionH relativeFrom="column">
                  <wp:posOffset>-6350</wp:posOffset>
                </wp:positionH>
                <wp:positionV relativeFrom="paragraph">
                  <wp:posOffset>127635</wp:posOffset>
                </wp:positionV>
                <wp:extent cx="3204845" cy="53975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3204845" cy="539750"/>
                        </a:xfrm>
                        <a:prstGeom prst="rect">
                          <a:avLst/>
                        </a:prstGeom>
                      </pic:spPr>
                    </pic:pic>
                  </a:graphicData>
                </a:graphic>
                <wp14:sizeRelH relativeFrom="page">
                  <wp14:pctWidth>0</wp14:pctWidth>
                </wp14:sizeRelH>
                <wp14:sizeRelV relativeFrom="page">
                  <wp14:pctHeight>0</wp14:pctHeight>
                </wp14:sizeRelV>
              </wp:anchor>
            </w:drawing>
          </w:r>
        </w:p>
      </w:tc>
      <w:tc>
        <w:tcPr>
          <w:tcW w:w="6545" w:type="dxa"/>
          <w:shd w:val="clear" w:color="auto" w:fill="auto"/>
          <w:vAlign w:val="center"/>
        </w:tcPr>
        <w:p w14:paraId="0A5863A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19219836" w14:textId="77777777" w:rsidR="00350767" w:rsidRDefault="00350767">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iInFuXnm" int2:invalidationBookmarkName="" int2:hashCode="y1VR9AP6xf09bR" int2:id="tszUckqb">
      <int2:state int2:value="Rejected" int2:type="LegacyProofing"/>
    </int2:bookmark>
    <int2:bookmark int2:bookmarkName="_Int_Ojc7kbH8" int2:invalidationBookmarkName="" int2:hashCode="y1VR9AP6xf09bR" int2:id="AoGcHV9i">
      <int2:state int2:value="Rejected" int2:type="LegacyProofing"/>
    </int2:bookmark>
    <int2:bookmark int2:bookmarkName="_Int_FOZxEkVv" int2:invalidationBookmarkName="" int2:hashCode="TmfPlba7UO3Nqr" int2:id="F0Lfntn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5A0"/>
    <w:multiLevelType w:val="hybridMultilevel"/>
    <w:tmpl w:val="309AE3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DE75ADB"/>
    <w:multiLevelType w:val="hybridMultilevel"/>
    <w:tmpl w:val="ECEA70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8D575C"/>
    <w:multiLevelType w:val="multilevel"/>
    <w:tmpl w:val="07523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BC1A61"/>
    <w:multiLevelType w:val="multilevel"/>
    <w:tmpl w:val="8880318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1591758"/>
    <w:multiLevelType w:val="hybridMultilevel"/>
    <w:tmpl w:val="F09C4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51712C9"/>
    <w:multiLevelType w:val="hybridMultilevel"/>
    <w:tmpl w:val="1B9C89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5331B54"/>
    <w:multiLevelType w:val="hybridMultilevel"/>
    <w:tmpl w:val="C77440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394448B"/>
    <w:multiLevelType w:val="hybridMultilevel"/>
    <w:tmpl w:val="7E949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1553"/>
    <w:rsid w:val="00001AE1"/>
    <w:rsid w:val="00003D24"/>
    <w:rsid w:val="00004778"/>
    <w:rsid w:val="00006F83"/>
    <w:rsid w:val="00007F07"/>
    <w:rsid w:val="00010483"/>
    <w:rsid w:val="000131E7"/>
    <w:rsid w:val="00013C42"/>
    <w:rsid w:val="00014D67"/>
    <w:rsid w:val="00016A94"/>
    <w:rsid w:val="00021FCC"/>
    <w:rsid w:val="00024F34"/>
    <w:rsid w:val="0002546A"/>
    <w:rsid w:val="00025907"/>
    <w:rsid w:val="00032CBF"/>
    <w:rsid w:val="00034863"/>
    <w:rsid w:val="000413E6"/>
    <w:rsid w:val="00041A9D"/>
    <w:rsid w:val="0004205E"/>
    <w:rsid w:val="00046240"/>
    <w:rsid w:val="00047A6E"/>
    <w:rsid w:val="00050524"/>
    <w:rsid w:val="00050818"/>
    <w:rsid w:val="000552B7"/>
    <w:rsid w:val="00060B92"/>
    <w:rsid w:val="00066125"/>
    <w:rsid w:val="00066463"/>
    <w:rsid w:val="000700BF"/>
    <w:rsid w:val="00071859"/>
    <w:rsid w:val="00073EE7"/>
    <w:rsid w:val="0007535A"/>
    <w:rsid w:val="0007636F"/>
    <w:rsid w:val="00080527"/>
    <w:rsid w:val="00080687"/>
    <w:rsid w:val="00081CEE"/>
    <w:rsid w:val="00084799"/>
    <w:rsid w:val="00084B49"/>
    <w:rsid w:val="00086B16"/>
    <w:rsid w:val="00090F95"/>
    <w:rsid w:val="00091E54"/>
    <w:rsid w:val="00092C0A"/>
    <w:rsid w:val="0009411F"/>
    <w:rsid w:val="00094D9F"/>
    <w:rsid w:val="000953CB"/>
    <w:rsid w:val="000A0EE0"/>
    <w:rsid w:val="000A35DA"/>
    <w:rsid w:val="000A3E34"/>
    <w:rsid w:val="000A4708"/>
    <w:rsid w:val="000A4D67"/>
    <w:rsid w:val="000A5F30"/>
    <w:rsid w:val="000B1092"/>
    <w:rsid w:val="000B1729"/>
    <w:rsid w:val="000B30A6"/>
    <w:rsid w:val="000B39C5"/>
    <w:rsid w:val="000B3F6F"/>
    <w:rsid w:val="000B50F1"/>
    <w:rsid w:val="000B54D0"/>
    <w:rsid w:val="000C1698"/>
    <w:rsid w:val="000C41BE"/>
    <w:rsid w:val="000C4618"/>
    <w:rsid w:val="000C614C"/>
    <w:rsid w:val="000C6C52"/>
    <w:rsid w:val="000D1565"/>
    <w:rsid w:val="000D1904"/>
    <w:rsid w:val="000D2DA8"/>
    <w:rsid w:val="000D359C"/>
    <w:rsid w:val="000D512E"/>
    <w:rsid w:val="000D5157"/>
    <w:rsid w:val="000D7B6A"/>
    <w:rsid w:val="000E0152"/>
    <w:rsid w:val="000E1DFF"/>
    <w:rsid w:val="000E2487"/>
    <w:rsid w:val="000E370D"/>
    <w:rsid w:val="000E65A4"/>
    <w:rsid w:val="000E7319"/>
    <w:rsid w:val="000F27AD"/>
    <w:rsid w:val="000F3871"/>
    <w:rsid w:val="00102D5D"/>
    <w:rsid w:val="0010320B"/>
    <w:rsid w:val="00105533"/>
    <w:rsid w:val="001071A2"/>
    <w:rsid w:val="001072FB"/>
    <w:rsid w:val="001129FC"/>
    <w:rsid w:val="00116659"/>
    <w:rsid w:val="001175AA"/>
    <w:rsid w:val="0012001B"/>
    <w:rsid w:val="0012435B"/>
    <w:rsid w:val="00124646"/>
    <w:rsid w:val="001246AD"/>
    <w:rsid w:val="00125A3A"/>
    <w:rsid w:val="00126916"/>
    <w:rsid w:val="00126980"/>
    <w:rsid w:val="00127AFA"/>
    <w:rsid w:val="001303DD"/>
    <w:rsid w:val="001330DA"/>
    <w:rsid w:val="001348DA"/>
    <w:rsid w:val="00135308"/>
    <w:rsid w:val="001365B5"/>
    <w:rsid w:val="00136CD0"/>
    <w:rsid w:val="0013737F"/>
    <w:rsid w:val="00142BF2"/>
    <w:rsid w:val="001447C1"/>
    <w:rsid w:val="00145BCA"/>
    <w:rsid w:val="00151072"/>
    <w:rsid w:val="00151639"/>
    <w:rsid w:val="0015209B"/>
    <w:rsid w:val="0015216F"/>
    <w:rsid w:val="00153523"/>
    <w:rsid w:val="00154280"/>
    <w:rsid w:val="00157729"/>
    <w:rsid w:val="00164587"/>
    <w:rsid w:val="00164B9F"/>
    <w:rsid w:val="00165ADF"/>
    <w:rsid w:val="001665A3"/>
    <w:rsid w:val="0017041F"/>
    <w:rsid w:val="0017180D"/>
    <w:rsid w:val="00171FCD"/>
    <w:rsid w:val="001743EF"/>
    <w:rsid w:val="00174A31"/>
    <w:rsid w:val="00174CC7"/>
    <w:rsid w:val="00177232"/>
    <w:rsid w:val="001858F4"/>
    <w:rsid w:val="00187186"/>
    <w:rsid w:val="001872F5"/>
    <w:rsid w:val="001912A9"/>
    <w:rsid w:val="00191A72"/>
    <w:rsid w:val="001977B5"/>
    <w:rsid w:val="001978EB"/>
    <w:rsid w:val="001A19F4"/>
    <w:rsid w:val="001A23CE"/>
    <w:rsid w:val="001A2AF1"/>
    <w:rsid w:val="001A41D0"/>
    <w:rsid w:val="001A6BDD"/>
    <w:rsid w:val="001A6D0B"/>
    <w:rsid w:val="001B055D"/>
    <w:rsid w:val="001B139B"/>
    <w:rsid w:val="001B3ACE"/>
    <w:rsid w:val="001B3FE5"/>
    <w:rsid w:val="001B6B23"/>
    <w:rsid w:val="001C013E"/>
    <w:rsid w:val="001C4D01"/>
    <w:rsid w:val="001C5218"/>
    <w:rsid w:val="001D1743"/>
    <w:rsid w:val="001D17CF"/>
    <w:rsid w:val="001D3D7F"/>
    <w:rsid w:val="001E1754"/>
    <w:rsid w:val="001E2024"/>
    <w:rsid w:val="001E2543"/>
    <w:rsid w:val="001E440C"/>
    <w:rsid w:val="001E6C60"/>
    <w:rsid w:val="001E7811"/>
    <w:rsid w:val="001F21DF"/>
    <w:rsid w:val="001F238A"/>
    <w:rsid w:val="001F40DF"/>
    <w:rsid w:val="001F4612"/>
    <w:rsid w:val="00204D60"/>
    <w:rsid w:val="0020502F"/>
    <w:rsid w:val="002072C4"/>
    <w:rsid w:val="00210D4C"/>
    <w:rsid w:val="002127F8"/>
    <w:rsid w:val="0021425F"/>
    <w:rsid w:val="0021698E"/>
    <w:rsid w:val="002171A2"/>
    <w:rsid w:val="00217FBB"/>
    <w:rsid w:val="00221648"/>
    <w:rsid w:val="002217D1"/>
    <w:rsid w:val="002236DB"/>
    <w:rsid w:val="002264B8"/>
    <w:rsid w:val="00231293"/>
    <w:rsid w:val="00231671"/>
    <w:rsid w:val="00235361"/>
    <w:rsid w:val="0023565F"/>
    <w:rsid w:val="00236F62"/>
    <w:rsid w:val="00237310"/>
    <w:rsid w:val="00237D76"/>
    <w:rsid w:val="00240228"/>
    <w:rsid w:val="00245F8A"/>
    <w:rsid w:val="0024607E"/>
    <w:rsid w:val="00251FCE"/>
    <w:rsid w:val="00252C06"/>
    <w:rsid w:val="00252F13"/>
    <w:rsid w:val="00253486"/>
    <w:rsid w:val="00254313"/>
    <w:rsid w:val="00260243"/>
    <w:rsid w:val="00261464"/>
    <w:rsid w:val="0026513E"/>
    <w:rsid w:val="0026731B"/>
    <w:rsid w:val="002729A5"/>
    <w:rsid w:val="002842C8"/>
    <w:rsid w:val="0028488A"/>
    <w:rsid w:val="002862C1"/>
    <w:rsid w:val="00286449"/>
    <w:rsid w:val="00286506"/>
    <w:rsid w:val="00287EC3"/>
    <w:rsid w:val="00292D0E"/>
    <w:rsid w:val="00293F29"/>
    <w:rsid w:val="002941D1"/>
    <w:rsid w:val="002957D0"/>
    <w:rsid w:val="002A1D25"/>
    <w:rsid w:val="002A21B8"/>
    <w:rsid w:val="002A2A12"/>
    <w:rsid w:val="002A6F28"/>
    <w:rsid w:val="002A74CB"/>
    <w:rsid w:val="002A7EA4"/>
    <w:rsid w:val="002B2C99"/>
    <w:rsid w:val="002B5D62"/>
    <w:rsid w:val="002C05D0"/>
    <w:rsid w:val="002C2E5B"/>
    <w:rsid w:val="002C55A8"/>
    <w:rsid w:val="002C6429"/>
    <w:rsid w:val="002C7C69"/>
    <w:rsid w:val="002D096D"/>
    <w:rsid w:val="002D11FE"/>
    <w:rsid w:val="002D2CB2"/>
    <w:rsid w:val="002D35EC"/>
    <w:rsid w:val="002D3FE3"/>
    <w:rsid w:val="002D5E8B"/>
    <w:rsid w:val="002E0157"/>
    <w:rsid w:val="002E149E"/>
    <w:rsid w:val="002E4A97"/>
    <w:rsid w:val="002E71C4"/>
    <w:rsid w:val="002F226A"/>
    <w:rsid w:val="002F2814"/>
    <w:rsid w:val="002F4EEF"/>
    <w:rsid w:val="002F6149"/>
    <w:rsid w:val="0030179C"/>
    <w:rsid w:val="00301DC2"/>
    <w:rsid w:val="00310142"/>
    <w:rsid w:val="00313AE9"/>
    <w:rsid w:val="003147F6"/>
    <w:rsid w:val="003152C7"/>
    <w:rsid w:val="003162BC"/>
    <w:rsid w:val="003209EB"/>
    <w:rsid w:val="00321881"/>
    <w:rsid w:val="003227FD"/>
    <w:rsid w:val="00322CAF"/>
    <w:rsid w:val="00322F19"/>
    <w:rsid w:val="003259EC"/>
    <w:rsid w:val="00325A55"/>
    <w:rsid w:val="003274DF"/>
    <w:rsid w:val="0032759F"/>
    <w:rsid w:val="003337D1"/>
    <w:rsid w:val="00333B5E"/>
    <w:rsid w:val="00333D6D"/>
    <w:rsid w:val="003343DB"/>
    <w:rsid w:val="0033626B"/>
    <w:rsid w:val="00336655"/>
    <w:rsid w:val="00337C1C"/>
    <w:rsid w:val="00342B3C"/>
    <w:rsid w:val="00345E21"/>
    <w:rsid w:val="003464F6"/>
    <w:rsid w:val="00346554"/>
    <w:rsid w:val="0034692C"/>
    <w:rsid w:val="00347A0E"/>
    <w:rsid w:val="003503EB"/>
    <w:rsid w:val="00350767"/>
    <w:rsid w:val="00350E4B"/>
    <w:rsid w:val="0035129E"/>
    <w:rsid w:val="00352200"/>
    <w:rsid w:val="003533A1"/>
    <w:rsid w:val="00363CBD"/>
    <w:rsid w:val="0036490E"/>
    <w:rsid w:val="003651DE"/>
    <w:rsid w:val="00367CB8"/>
    <w:rsid w:val="003711C0"/>
    <w:rsid w:val="00372D95"/>
    <w:rsid w:val="00373197"/>
    <w:rsid w:val="00375D32"/>
    <w:rsid w:val="00375D4F"/>
    <w:rsid w:val="00377D34"/>
    <w:rsid w:val="003817E1"/>
    <w:rsid w:val="0038390A"/>
    <w:rsid w:val="00386FC1"/>
    <w:rsid w:val="003959E6"/>
    <w:rsid w:val="00396E90"/>
    <w:rsid w:val="003A0BBF"/>
    <w:rsid w:val="003A3AF2"/>
    <w:rsid w:val="003A3C08"/>
    <w:rsid w:val="003A46A7"/>
    <w:rsid w:val="003A6449"/>
    <w:rsid w:val="003A73D2"/>
    <w:rsid w:val="003B0094"/>
    <w:rsid w:val="003B3F46"/>
    <w:rsid w:val="003B4DDE"/>
    <w:rsid w:val="003B625C"/>
    <w:rsid w:val="003C07CA"/>
    <w:rsid w:val="003C0C28"/>
    <w:rsid w:val="003C0F32"/>
    <w:rsid w:val="003C1CD5"/>
    <w:rsid w:val="003C31A6"/>
    <w:rsid w:val="003C3DA4"/>
    <w:rsid w:val="003C6266"/>
    <w:rsid w:val="003C68D6"/>
    <w:rsid w:val="003C6CAC"/>
    <w:rsid w:val="003D13D2"/>
    <w:rsid w:val="003D160B"/>
    <w:rsid w:val="003D3516"/>
    <w:rsid w:val="003D6311"/>
    <w:rsid w:val="003E0E69"/>
    <w:rsid w:val="003E1394"/>
    <w:rsid w:val="003E426C"/>
    <w:rsid w:val="003E582F"/>
    <w:rsid w:val="003E6BDA"/>
    <w:rsid w:val="003E7BA2"/>
    <w:rsid w:val="003F5487"/>
    <w:rsid w:val="003F5C83"/>
    <w:rsid w:val="004008C3"/>
    <w:rsid w:val="00401B59"/>
    <w:rsid w:val="00402C6A"/>
    <w:rsid w:val="00405CE5"/>
    <w:rsid w:val="0041492B"/>
    <w:rsid w:val="00414FD9"/>
    <w:rsid w:val="0041604F"/>
    <w:rsid w:val="0042041F"/>
    <w:rsid w:val="00424CD1"/>
    <w:rsid w:val="00427321"/>
    <w:rsid w:val="00427DD9"/>
    <w:rsid w:val="004317DB"/>
    <w:rsid w:val="00432C5C"/>
    <w:rsid w:val="00435B76"/>
    <w:rsid w:val="00437C19"/>
    <w:rsid w:val="00440F7C"/>
    <w:rsid w:val="00445BB6"/>
    <w:rsid w:val="0044663D"/>
    <w:rsid w:val="0044682A"/>
    <w:rsid w:val="00460805"/>
    <w:rsid w:val="00461D1F"/>
    <w:rsid w:val="00463FA0"/>
    <w:rsid w:val="004669B9"/>
    <w:rsid w:val="00470148"/>
    <w:rsid w:val="00470526"/>
    <w:rsid w:val="0047174D"/>
    <w:rsid w:val="00472E16"/>
    <w:rsid w:val="0047346D"/>
    <w:rsid w:val="004804F4"/>
    <w:rsid w:val="00481B29"/>
    <w:rsid w:val="004821DF"/>
    <w:rsid w:val="004848A4"/>
    <w:rsid w:val="00486AF1"/>
    <w:rsid w:val="00486CBF"/>
    <w:rsid w:val="00491083"/>
    <w:rsid w:val="00494B8B"/>
    <w:rsid w:val="00496DE2"/>
    <w:rsid w:val="00497B3E"/>
    <w:rsid w:val="004A0755"/>
    <w:rsid w:val="004A2039"/>
    <w:rsid w:val="004A3AEB"/>
    <w:rsid w:val="004A6BE3"/>
    <w:rsid w:val="004B078F"/>
    <w:rsid w:val="004B20B7"/>
    <w:rsid w:val="004B5034"/>
    <w:rsid w:val="004B7823"/>
    <w:rsid w:val="004C061A"/>
    <w:rsid w:val="004C0CE9"/>
    <w:rsid w:val="004C1726"/>
    <w:rsid w:val="004C4371"/>
    <w:rsid w:val="004C7D38"/>
    <w:rsid w:val="004D095C"/>
    <w:rsid w:val="004D0B0D"/>
    <w:rsid w:val="004D0D86"/>
    <w:rsid w:val="004D10C6"/>
    <w:rsid w:val="004D2643"/>
    <w:rsid w:val="004D294E"/>
    <w:rsid w:val="004D3D03"/>
    <w:rsid w:val="004D4586"/>
    <w:rsid w:val="004D4F65"/>
    <w:rsid w:val="004D5FDF"/>
    <w:rsid w:val="004D6329"/>
    <w:rsid w:val="004D6547"/>
    <w:rsid w:val="004E034B"/>
    <w:rsid w:val="004E15A7"/>
    <w:rsid w:val="004E17FC"/>
    <w:rsid w:val="004E274E"/>
    <w:rsid w:val="004E3397"/>
    <w:rsid w:val="004E38DD"/>
    <w:rsid w:val="004E517F"/>
    <w:rsid w:val="004E56E2"/>
    <w:rsid w:val="004E64A6"/>
    <w:rsid w:val="004E7330"/>
    <w:rsid w:val="004F44A7"/>
    <w:rsid w:val="004F5214"/>
    <w:rsid w:val="004F6AB5"/>
    <w:rsid w:val="004F778E"/>
    <w:rsid w:val="004F7A38"/>
    <w:rsid w:val="0050148F"/>
    <w:rsid w:val="00502F91"/>
    <w:rsid w:val="00503A70"/>
    <w:rsid w:val="0050524F"/>
    <w:rsid w:val="00505B2D"/>
    <w:rsid w:val="00513CCF"/>
    <w:rsid w:val="00514214"/>
    <w:rsid w:val="00516D22"/>
    <w:rsid w:val="00516EB0"/>
    <w:rsid w:val="00520AAA"/>
    <w:rsid w:val="00520B2A"/>
    <w:rsid w:val="00522B2B"/>
    <w:rsid w:val="0052547A"/>
    <w:rsid w:val="00525627"/>
    <w:rsid w:val="0052739A"/>
    <w:rsid w:val="00531566"/>
    <w:rsid w:val="0053197C"/>
    <w:rsid w:val="00532B35"/>
    <w:rsid w:val="005335C6"/>
    <w:rsid w:val="005338C9"/>
    <w:rsid w:val="005338E4"/>
    <w:rsid w:val="00535D6C"/>
    <w:rsid w:val="00541F4F"/>
    <w:rsid w:val="0054286C"/>
    <w:rsid w:val="00543E5A"/>
    <w:rsid w:val="00545A32"/>
    <w:rsid w:val="0054645F"/>
    <w:rsid w:val="00553817"/>
    <w:rsid w:val="005569DA"/>
    <w:rsid w:val="00556CA2"/>
    <w:rsid w:val="005609E9"/>
    <w:rsid w:val="005616ED"/>
    <w:rsid w:val="00562781"/>
    <w:rsid w:val="005629D0"/>
    <w:rsid w:val="00564A4E"/>
    <w:rsid w:val="005660A7"/>
    <w:rsid w:val="00573B3C"/>
    <w:rsid w:val="00574AD3"/>
    <w:rsid w:val="00574CDF"/>
    <w:rsid w:val="005815B6"/>
    <w:rsid w:val="00584E85"/>
    <w:rsid w:val="0058544E"/>
    <w:rsid w:val="00585C65"/>
    <w:rsid w:val="00585D19"/>
    <w:rsid w:val="00587036"/>
    <w:rsid w:val="005871DA"/>
    <w:rsid w:val="00587695"/>
    <w:rsid w:val="0059036F"/>
    <w:rsid w:val="0059054D"/>
    <w:rsid w:val="0059316B"/>
    <w:rsid w:val="00593ACF"/>
    <w:rsid w:val="00593C8F"/>
    <w:rsid w:val="005943D0"/>
    <w:rsid w:val="005945FF"/>
    <w:rsid w:val="005949A8"/>
    <w:rsid w:val="0059560E"/>
    <w:rsid w:val="005A0530"/>
    <w:rsid w:val="005A077D"/>
    <w:rsid w:val="005A31D5"/>
    <w:rsid w:val="005A4320"/>
    <w:rsid w:val="005A434E"/>
    <w:rsid w:val="005A498D"/>
    <w:rsid w:val="005A4A03"/>
    <w:rsid w:val="005B2EA4"/>
    <w:rsid w:val="005B67BA"/>
    <w:rsid w:val="005B7452"/>
    <w:rsid w:val="005C19CA"/>
    <w:rsid w:val="005C4522"/>
    <w:rsid w:val="005C5BF8"/>
    <w:rsid w:val="005C6B74"/>
    <w:rsid w:val="005C7402"/>
    <w:rsid w:val="005D49BF"/>
    <w:rsid w:val="005E02C4"/>
    <w:rsid w:val="005E1883"/>
    <w:rsid w:val="005E2BA7"/>
    <w:rsid w:val="005F30C3"/>
    <w:rsid w:val="005F6780"/>
    <w:rsid w:val="005F7863"/>
    <w:rsid w:val="00600C61"/>
    <w:rsid w:val="006029FA"/>
    <w:rsid w:val="00602B4F"/>
    <w:rsid w:val="0060353B"/>
    <w:rsid w:val="00603A7F"/>
    <w:rsid w:val="00606903"/>
    <w:rsid w:val="0061022B"/>
    <w:rsid w:val="00610300"/>
    <w:rsid w:val="00611995"/>
    <w:rsid w:val="00620876"/>
    <w:rsid w:val="00624FD0"/>
    <w:rsid w:val="006258E7"/>
    <w:rsid w:val="00625F8F"/>
    <w:rsid w:val="006260A2"/>
    <w:rsid w:val="00630C5E"/>
    <w:rsid w:val="006315B4"/>
    <w:rsid w:val="00632BD1"/>
    <w:rsid w:val="00633F83"/>
    <w:rsid w:val="00635AC3"/>
    <w:rsid w:val="00636FFB"/>
    <w:rsid w:val="006409DF"/>
    <w:rsid w:val="0064131A"/>
    <w:rsid w:val="006440F3"/>
    <w:rsid w:val="00644412"/>
    <w:rsid w:val="0064553E"/>
    <w:rsid w:val="006463F5"/>
    <w:rsid w:val="00654CBD"/>
    <w:rsid w:val="00654CCF"/>
    <w:rsid w:val="006615CC"/>
    <w:rsid w:val="00664087"/>
    <w:rsid w:val="0066493C"/>
    <w:rsid w:val="00665F82"/>
    <w:rsid w:val="0067186C"/>
    <w:rsid w:val="00671E11"/>
    <w:rsid w:val="00674766"/>
    <w:rsid w:val="006779DA"/>
    <w:rsid w:val="00677EE1"/>
    <w:rsid w:val="00677F91"/>
    <w:rsid w:val="00682738"/>
    <w:rsid w:val="00684770"/>
    <w:rsid w:val="00684F87"/>
    <w:rsid w:val="00686532"/>
    <w:rsid w:val="00687EB3"/>
    <w:rsid w:val="00692980"/>
    <w:rsid w:val="006929CC"/>
    <w:rsid w:val="00692DE3"/>
    <w:rsid w:val="00693246"/>
    <w:rsid w:val="00694834"/>
    <w:rsid w:val="0069506F"/>
    <w:rsid w:val="00696582"/>
    <w:rsid w:val="00696FA7"/>
    <w:rsid w:val="006A0F42"/>
    <w:rsid w:val="006A1DBB"/>
    <w:rsid w:val="006A3D09"/>
    <w:rsid w:val="006A405C"/>
    <w:rsid w:val="006A63F2"/>
    <w:rsid w:val="006A6929"/>
    <w:rsid w:val="006B14FE"/>
    <w:rsid w:val="006B22A8"/>
    <w:rsid w:val="006B2548"/>
    <w:rsid w:val="006B3EC5"/>
    <w:rsid w:val="006B4E40"/>
    <w:rsid w:val="006B54A8"/>
    <w:rsid w:val="006B5BBB"/>
    <w:rsid w:val="006B6AE8"/>
    <w:rsid w:val="006B7B17"/>
    <w:rsid w:val="006C103A"/>
    <w:rsid w:val="006C3991"/>
    <w:rsid w:val="006C4E6A"/>
    <w:rsid w:val="006C50E8"/>
    <w:rsid w:val="006C51D5"/>
    <w:rsid w:val="006C5A78"/>
    <w:rsid w:val="006D01F9"/>
    <w:rsid w:val="006D464D"/>
    <w:rsid w:val="006D4E59"/>
    <w:rsid w:val="006E15F3"/>
    <w:rsid w:val="006E2941"/>
    <w:rsid w:val="006E3D24"/>
    <w:rsid w:val="006E4F20"/>
    <w:rsid w:val="006E6F11"/>
    <w:rsid w:val="006E72DC"/>
    <w:rsid w:val="006F0B6B"/>
    <w:rsid w:val="006F144D"/>
    <w:rsid w:val="006F461B"/>
    <w:rsid w:val="006F622C"/>
    <w:rsid w:val="00700FF6"/>
    <w:rsid w:val="00701B07"/>
    <w:rsid w:val="0070281D"/>
    <w:rsid w:val="00702A6A"/>
    <w:rsid w:val="0070368B"/>
    <w:rsid w:val="00704D44"/>
    <w:rsid w:val="00705906"/>
    <w:rsid w:val="00712594"/>
    <w:rsid w:val="00713ADC"/>
    <w:rsid w:val="00714D88"/>
    <w:rsid w:val="00715A68"/>
    <w:rsid w:val="00715C5D"/>
    <w:rsid w:val="00715DD5"/>
    <w:rsid w:val="00715ECF"/>
    <w:rsid w:val="00717307"/>
    <w:rsid w:val="00717A04"/>
    <w:rsid w:val="00717BFE"/>
    <w:rsid w:val="007208C5"/>
    <w:rsid w:val="00725BB4"/>
    <w:rsid w:val="0073180A"/>
    <w:rsid w:val="00732997"/>
    <w:rsid w:val="007336C3"/>
    <w:rsid w:val="00733D5E"/>
    <w:rsid w:val="00735033"/>
    <w:rsid w:val="007427B2"/>
    <w:rsid w:val="007456C3"/>
    <w:rsid w:val="007507C1"/>
    <w:rsid w:val="00752F1A"/>
    <w:rsid w:val="00755FE5"/>
    <w:rsid w:val="00756485"/>
    <w:rsid w:val="0075705D"/>
    <w:rsid w:val="007626D5"/>
    <w:rsid w:val="007626E1"/>
    <w:rsid w:val="0076288A"/>
    <w:rsid w:val="00763131"/>
    <w:rsid w:val="00767281"/>
    <w:rsid w:val="00767A71"/>
    <w:rsid w:val="00767F65"/>
    <w:rsid w:val="00770D6C"/>
    <w:rsid w:val="0077219A"/>
    <w:rsid w:val="00774A16"/>
    <w:rsid w:val="0077708F"/>
    <w:rsid w:val="007811D0"/>
    <w:rsid w:val="00783515"/>
    <w:rsid w:val="0078700F"/>
    <w:rsid w:val="00787C94"/>
    <w:rsid w:val="007919CF"/>
    <w:rsid w:val="00791BCB"/>
    <w:rsid w:val="007920E9"/>
    <w:rsid w:val="007921BD"/>
    <w:rsid w:val="00793A02"/>
    <w:rsid w:val="00795C6B"/>
    <w:rsid w:val="00797C82"/>
    <w:rsid w:val="007A1566"/>
    <w:rsid w:val="007A1EC8"/>
    <w:rsid w:val="007A2AB0"/>
    <w:rsid w:val="007A3571"/>
    <w:rsid w:val="007A3995"/>
    <w:rsid w:val="007A5AC5"/>
    <w:rsid w:val="007A6ECA"/>
    <w:rsid w:val="007A760D"/>
    <w:rsid w:val="007B622D"/>
    <w:rsid w:val="007B66FD"/>
    <w:rsid w:val="007B72C5"/>
    <w:rsid w:val="007C3F6A"/>
    <w:rsid w:val="007C4288"/>
    <w:rsid w:val="007C484E"/>
    <w:rsid w:val="007C5980"/>
    <w:rsid w:val="007D1F4C"/>
    <w:rsid w:val="007D36C3"/>
    <w:rsid w:val="007D4853"/>
    <w:rsid w:val="007D57C4"/>
    <w:rsid w:val="007E0429"/>
    <w:rsid w:val="007E2B12"/>
    <w:rsid w:val="007E41DE"/>
    <w:rsid w:val="007E4CE3"/>
    <w:rsid w:val="007F14A0"/>
    <w:rsid w:val="007F2B1F"/>
    <w:rsid w:val="007F51B1"/>
    <w:rsid w:val="00800CEB"/>
    <w:rsid w:val="00802F7A"/>
    <w:rsid w:val="00803483"/>
    <w:rsid w:val="00805B18"/>
    <w:rsid w:val="00806A1C"/>
    <w:rsid w:val="0080773A"/>
    <w:rsid w:val="00807A1F"/>
    <w:rsid w:val="008173F3"/>
    <w:rsid w:val="0082117C"/>
    <w:rsid w:val="008227E9"/>
    <w:rsid w:val="00824D6C"/>
    <w:rsid w:val="00824F91"/>
    <w:rsid w:val="008252C5"/>
    <w:rsid w:val="008278DD"/>
    <w:rsid w:val="008309E0"/>
    <w:rsid w:val="00830F52"/>
    <w:rsid w:val="00831860"/>
    <w:rsid w:val="00832F2D"/>
    <w:rsid w:val="00833EAA"/>
    <w:rsid w:val="008349D8"/>
    <w:rsid w:val="00836C6A"/>
    <w:rsid w:val="00836EB8"/>
    <w:rsid w:val="0083734D"/>
    <w:rsid w:val="00837FFB"/>
    <w:rsid w:val="00841C9F"/>
    <w:rsid w:val="0084294E"/>
    <w:rsid w:val="00842EDA"/>
    <w:rsid w:val="00843EFF"/>
    <w:rsid w:val="00843F42"/>
    <w:rsid w:val="008442A5"/>
    <w:rsid w:val="008477A9"/>
    <w:rsid w:val="0085416A"/>
    <w:rsid w:val="00854BA5"/>
    <w:rsid w:val="00856B0F"/>
    <w:rsid w:val="00856EEC"/>
    <w:rsid w:val="0085725D"/>
    <w:rsid w:val="008576CD"/>
    <w:rsid w:val="00857C1C"/>
    <w:rsid w:val="00860C6D"/>
    <w:rsid w:val="00861BD9"/>
    <w:rsid w:val="00863C4D"/>
    <w:rsid w:val="00870505"/>
    <w:rsid w:val="00871706"/>
    <w:rsid w:val="0087186A"/>
    <w:rsid w:val="00872C56"/>
    <w:rsid w:val="00874F67"/>
    <w:rsid w:val="00875AA5"/>
    <w:rsid w:val="00876AC2"/>
    <w:rsid w:val="008801F1"/>
    <w:rsid w:val="00883F43"/>
    <w:rsid w:val="00883F9B"/>
    <w:rsid w:val="00884C98"/>
    <w:rsid w:val="00884CE2"/>
    <w:rsid w:val="00885E7D"/>
    <w:rsid w:val="00887FA1"/>
    <w:rsid w:val="00892A96"/>
    <w:rsid w:val="0089363F"/>
    <w:rsid w:val="00893952"/>
    <w:rsid w:val="00894D05"/>
    <w:rsid w:val="00895C03"/>
    <w:rsid w:val="00896ED8"/>
    <w:rsid w:val="008A08F2"/>
    <w:rsid w:val="008A209D"/>
    <w:rsid w:val="008A2436"/>
    <w:rsid w:val="008A4E8C"/>
    <w:rsid w:val="008A563D"/>
    <w:rsid w:val="008A7B6D"/>
    <w:rsid w:val="008B0EB0"/>
    <w:rsid w:val="008B11C6"/>
    <w:rsid w:val="008B3B0A"/>
    <w:rsid w:val="008C2BA0"/>
    <w:rsid w:val="008C69F2"/>
    <w:rsid w:val="008D039A"/>
    <w:rsid w:val="008D1162"/>
    <w:rsid w:val="008D1D44"/>
    <w:rsid w:val="008D33C0"/>
    <w:rsid w:val="008D3E6C"/>
    <w:rsid w:val="008D489A"/>
    <w:rsid w:val="008D6A75"/>
    <w:rsid w:val="008E04EC"/>
    <w:rsid w:val="008E13CC"/>
    <w:rsid w:val="008E3F73"/>
    <w:rsid w:val="008E43F4"/>
    <w:rsid w:val="008E62CE"/>
    <w:rsid w:val="008E7522"/>
    <w:rsid w:val="008F1F98"/>
    <w:rsid w:val="008F42F6"/>
    <w:rsid w:val="008F4F8F"/>
    <w:rsid w:val="008F5282"/>
    <w:rsid w:val="008F7592"/>
    <w:rsid w:val="008F7A12"/>
    <w:rsid w:val="008F7BD7"/>
    <w:rsid w:val="00900C7B"/>
    <w:rsid w:val="009019E0"/>
    <w:rsid w:val="009117F3"/>
    <w:rsid w:val="00912BAC"/>
    <w:rsid w:val="00915564"/>
    <w:rsid w:val="00916FD0"/>
    <w:rsid w:val="00922CBC"/>
    <w:rsid w:val="00923493"/>
    <w:rsid w:val="009242EE"/>
    <w:rsid w:val="00924E36"/>
    <w:rsid w:val="00925058"/>
    <w:rsid w:val="00926A30"/>
    <w:rsid w:val="00926CDB"/>
    <w:rsid w:val="00930113"/>
    <w:rsid w:val="009356EC"/>
    <w:rsid w:val="009373F8"/>
    <w:rsid w:val="00937FB2"/>
    <w:rsid w:val="0094034E"/>
    <w:rsid w:val="0094114F"/>
    <w:rsid w:val="00942D83"/>
    <w:rsid w:val="00943A80"/>
    <w:rsid w:val="00952421"/>
    <w:rsid w:val="00954718"/>
    <w:rsid w:val="0095690D"/>
    <w:rsid w:val="00956C51"/>
    <w:rsid w:val="009609C5"/>
    <w:rsid w:val="00961B17"/>
    <w:rsid w:val="00965B1A"/>
    <w:rsid w:val="00966856"/>
    <w:rsid w:val="00970330"/>
    <w:rsid w:val="00971B57"/>
    <w:rsid w:val="00974C90"/>
    <w:rsid w:val="00976933"/>
    <w:rsid w:val="00977B88"/>
    <w:rsid w:val="00981893"/>
    <w:rsid w:val="00984974"/>
    <w:rsid w:val="00985061"/>
    <w:rsid w:val="00986438"/>
    <w:rsid w:val="009864FC"/>
    <w:rsid w:val="00987B7E"/>
    <w:rsid w:val="00987DBF"/>
    <w:rsid w:val="009912CC"/>
    <w:rsid w:val="00994B7C"/>
    <w:rsid w:val="009963B9"/>
    <w:rsid w:val="009970F9"/>
    <w:rsid w:val="009A5590"/>
    <w:rsid w:val="009A738B"/>
    <w:rsid w:val="009B0F7D"/>
    <w:rsid w:val="009B401D"/>
    <w:rsid w:val="009C083C"/>
    <w:rsid w:val="009C14D4"/>
    <w:rsid w:val="009C36DE"/>
    <w:rsid w:val="009C3837"/>
    <w:rsid w:val="009C44BD"/>
    <w:rsid w:val="009C537F"/>
    <w:rsid w:val="009C7C2E"/>
    <w:rsid w:val="009D0585"/>
    <w:rsid w:val="009D171E"/>
    <w:rsid w:val="009D2BB3"/>
    <w:rsid w:val="009D6AAD"/>
    <w:rsid w:val="009D75BA"/>
    <w:rsid w:val="009E0066"/>
    <w:rsid w:val="009E0846"/>
    <w:rsid w:val="009E1EF4"/>
    <w:rsid w:val="009E1F32"/>
    <w:rsid w:val="009E3390"/>
    <w:rsid w:val="009E3454"/>
    <w:rsid w:val="009E4BD5"/>
    <w:rsid w:val="009E5B8C"/>
    <w:rsid w:val="009F1BE0"/>
    <w:rsid w:val="009F1C7F"/>
    <w:rsid w:val="009F2207"/>
    <w:rsid w:val="009F4A4E"/>
    <w:rsid w:val="009F739B"/>
    <w:rsid w:val="009F79C8"/>
    <w:rsid w:val="009F7CED"/>
    <w:rsid w:val="00A0122A"/>
    <w:rsid w:val="00A036CA"/>
    <w:rsid w:val="00A03DD5"/>
    <w:rsid w:val="00A03EF2"/>
    <w:rsid w:val="00A04569"/>
    <w:rsid w:val="00A04A98"/>
    <w:rsid w:val="00A054E6"/>
    <w:rsid w:val="00A068F9"/>
    <w:rsid w:val="00A0736A"/>
    <w:rsid w:val="00A07DE7"/>
    <w:rsid w:val="00A1032B"/>
    <w:rsid w:val="00A120D6"/>
    <w:rsid w:val="00A1301A"/>
    <w:rsid w:val="00A14C37"/>
    <w:rsid w:val="00A15B11"/>
    <w:rsid w:val="00A161B9"/>
    <w:rsid w:val="00A219D7"/>
    <w:rsid w:val="00A230C2"/>
    <w:rsid w:val="00A2785C"/>
    <w:rsid w:val="00A30E2B"/>
    <w:rsid w:val="00A33DCF"/>
    <w:rsid w:val="00A34708"/>
    <w:rsid w:val="00A377FE"/>
    <w:rsid w:val="00A400AA"/>
    <w:rsid w:val="00A4128C"/>
    <w:rsid w:val="00A41AEF"/>
    <w:rsid w:val="00A447B3"/>
    <w:rsid w:val="00A500DD"/>
    <w:rsid w:val="00A52C3F"/>
    <w:rsid w:val="00A55DB6"/>
    <w:rsid w:val="00A60077"/>
    <w:rsid w:val="00A61784"/>
    <w:rsid w:val="00A63962"/>
    <w:rsid w:val="00A640F5"/>
    <w:rsid w:val="00A64120"/>
    <w:rsid w:val="00A6504B"/>
    <w:rsid w:val="00A6779D"/>
    <w:rsid w:val="00A6788A"/>
    <w:rsid w:val="00A67F1F"/>
    <w:rsid w:val="00A7132D"/>
    <w:rsid w:val="00A716DC"/>
    <w:rsid w:val="00A7220D"/>
    <w:rsid w:val="00A72973"/>
    <w:rsid w:val="00A72E6A"/>
    <w:rsid w:val="00A74AFD"/>
    <w:rsid w:val="00A7711A"/>
    <w:rsid w:val="00A77FA7"/>
    <w:rsid w:val="00A80613"/>
    <w:rsid w:val="00A81876"/>
    <w:rsid w:val="00A82050"/>
    <w:rsid w:val="00A83A98"/>
    <w:rsid w:val="00A83AD1"/>
    <w:rsid w:val="00A85AEA"/>
    <w:rsid w:val="00A85E7C"/>
    <w:rsid w:val="00A86F12"/>
    <w:rsid w:val="00A94019"/>
    <w:rsid w:val="00A978EB"/>
    <w:rsid w:val="00AA1410"/>
    <w:rsid w:val="00AA197B"/>
    <w:rsid w:val="00AA1D02"/>
    <w:rsid w:val="00AA28E8"/>
    <w:rsid w:val="00AB0708"/>
    <w:rsid w:val="00AB0A5D"/>
    <w:rsid w:val="00AB0C45"/>
    <w:rsid w:val="00AB2028"/>
    <w:rsid w:val="00AB464F"/>
    <w:rsid w:val="00AB6652"/>
    <w:rsid w:val="00AB6722"/>
    <w:rsid w:val="00AC0065"/>
    <w:rsid w:val="00AC00BA"/>
    <w:rsid w:val="00AC1AF8"/>
    <w:rsid w:val="00AC447D"/>
    <w:rsid w:val="00AC65B4"/>
    <w:rsid w:val="00AD09A5"/>
    <w:rsid w:val="00AD17EA"/>
    <w:rsid w:val="00AD3E7B"/>
    <w:rsid w:val="00AD4A7F"/>
    <w:rsid w:val="00AD4F3F"/>
    <w:rsid w:val="00AD5446"/>
    <w:rsid w:val="00AD623F"/>
    <w:rsid w:val="00AD751F"/>
    <w:rsid w:val="00AD7D5B"/>
    <w:rsid w:val="00AE03F3"/>
    <w:rsid w:val="00AF5E71"/>
    <w:rsid w:val="00AF6B45"/>
    <w:rsid w:val="00B01BC4"/>
    <w:rsid w:val="00B01D63"/>
    <w:rsid w:val="00B04475"/>
    <w:rsid w:val="00B065A4"/>
    <w:rsid w:val="00B13AE3"/>
    <w:rsid w:val="00B25550"/>
    <w:rsid w:val="00B3022E"/>
    <w:rsid w:val="00B30DCD"/>
    <w:rsid w:val="00B31FE1"/>
    <w:rsid w:val="00B32957"/>
    <w:rsid w:val="00B34453"/>
    <w:rsid w:val="00B368AE"/>
    <w:rsid w:val="00B377D3"/>
    <w:rsid w:val="00B4178F"/>
    <w:rsid w:val="00B41E0B"/>
    <w:rsid w:val="00B4216E"/>
    <w:rsid w:val="00B4474F"/>
    <w:rsid w:val="00B448DC"/>
    <w:rsid w:val="00B44A75"/>
    <w:rsid w:val="00B45ADF"/>
    <w:rsid w:val="00B463AC"/>
    <w:rsid w:val="00B50372"/>
    <w:rsid w:val="00B51095"/>
    <w:rsid w:val="00B51E3E"/>
    <w:rsid w:val="00B549FC"/>
    <w:rsid w:val="00B6123C"/>
    <w:rsid w:val="00B61CA6"/>
    <w:rsid w:val="00B625FB"/>
    <w:rsid w:val="00B62FEA"/>
    <w:rsid w:val="00B63A61"/>
    <w:rsid w:val="00B65F1B"/>
    <w:rsid w:val="00B66D03"/>
    <w:rsid w:val="00B66F89"/>
    <w:rsid w:val="00B7000F"/>
    <w:rsid w:val="00B7023E"/>
    <w:rsid w:val="00B7266D"/>
    <w:rsid w:val="00B729FC"/>
    <w:rsid w:val="00B72E11"/>
    <w:rsid w:val="00B73EC6"/>
    <w:rsid w:val="00B766E4"/>
    <w:rsid w:val="00B807D3"/>
    <w:rsid w:val="00B81B23"/>
    <w:rsid w:val="00B8326D"/>
    <w:rsid w:val="00B8335C"/>
    <w:rsid w:val="00B8483E"/>
    <w:rsid w:val="00B84AF8"/>
    <w:rsid w:val="00B876BC"/>
    <w:rsid w:val="00B937B6"/>
    <w:rsid w:val="00B96AA7"/>
    <w:rsid w:val="00BA1014"/>
    <w:rsid w:val="00BA21F3"/>
    <w:rsid w:val="00BA3005"/>
    <w:rsid w:val="00BA450F"/>
    <w:rsid w:val="00BB0D2B"/>
    <w:rsid w:val="00BB2328"/>
    <w:rsid w:val="00BB383B"/>
    <w:rsid w:val="00BB545F"/>
    <w:rsid w:val="00BC1598"/>
    <w:rsid w:val="00BC29B5"/>
    <w:rsid w:val="00BC4DA5"/>
    <w:rsid w:val="00BC6858"/>
    <w:rsid w:val="00BD47CE"/>
    <w:rsid w:val="00BD4B65"/>
    <w:rsid w:val="00BD63CE"/>
    <w:rsid w:val="00BD7E45"/>
    <w:rsid w:val="00BE1F46"/>
    <w:rsid w:val="00BE2099"/>
    <w:rsid w:val="00BE257E"/>
    <w:rsid w:val="00BE280C"/>
    <w:rsid w:val="00BE5AF0"/>
    <w:rsid w:val="00BF054E"/>
    <w:rsid w:val="00BF0DB9"/>
    <w:rsid w:val="00C03AAF"/>
    <w:rsid w:val="00C03B76"/>
    <w:rsid w:val="00C04D85"/>
    <w:rsid w:val="00C0524A"/>
    <w:rsid w:val="00C06B4A"/>
    <w:rsid w:val="00C106FC"/>
    <w:rsid w:val="00C12B93"/>
    <w:rsid w:val="00C134C3"/>
    <w:rsid w:val="00C14DA3"/>
    <w:rsid w:val="00C21D89"/>
    <w:rsid w:val="00C22434"/>
    <w:rsid w:val="00C22E09"/>
    <w:rsid w:val="00C23D6B"/>
    <w:rsid w:val="00C2597B"/>
    <w:rsid w:val="00C26C14"/>
    <w:rsid w:val="00C27D76"/>
    <w:rsid w:val="00C3111F"/>
    <w:rsid w:val="00C31D59"/>
    <w:rsid w:val="00C329EE"/>
    <w:rsid w:val="00C36892"/>
    <w:rsid w:val="00C36AE0"/>
    <w:rsid w:val="00C36B19"/>
    <w:rsid w:val="00C4009A"/>
    <w:rsid w:val="00C401C2"/>
    <w:rsid w:val="00C419A7"/>
    <w:rsid w:val="00C41CCA"/>
    <w:rsid w:val="00C4282D"/>
    <w:rsid w:val="00C44A8A"/>
    <w:rsid w:val="00C46330"/>
    <w:rsid w:val="00C47F73"/>
    <w:rsid w:val="00C500CD"/>
    <w:rsid w:val="00C513E0"/>
    <w:rsid w:val="00C52954"/>
    <w:rsid w:val="00C52E86"/>
    <w:rsid w:val="00C55B0D"/>
    <w:rsid w:val="00C56D55"/>
    <w:rsid w:val="00C6077B"/>
    <w:rsid w:val="00C61233"/>
    <w:rsid w:val="00C61441"/>
    <w:rsid w:val="00C62DEE"/>
    <w:rsid w:val="00C64174"/>
    <w:rsid w:val="00C64AF5"/>
    <w:rsid w:val="00C66893"/>
    <w:rsid w:val="00C66913"/>
    <w:rsid w:val="00C7294E"/>
    <w:rsid w:val="00C74578"/>
    <w:rsid w:val="00C75173"/>
    <w:rsid w:val="00C7658C"/>
    <w:rsid w:val="00C86DC5"/>
    <w:rsid w:val="00C9140D"/>
    <w:rsid w:val="00C91F90"/>
    <w:rsid w:val="00C92A2D"/>
    <w:rsid w:val="00C95EAD"/>
    <w:rsid w:val="00C96AE7"/>
    <w:rsid w:val="00CA57DF"/>
    <w:rsid w:val="00CB0063"/>
    <w:rsid w:val="00CB3D6C"/>
    <w:rsid w:val="00CB48ED"/>
    <w:rsid w:val="00CB4D37"/>
    <w:rsid w:val="00CB608B"/>
    <w:rsid w:val="00CB66F7"/>
    <w:rsid w:val="00CC0C62"/>
    <w:rsid w:val="00CC259C"/>
    <w:rsid w:val="00CC2A65"/>
    <w:rsid w:val="00CC42D1"/>
    <w:rsid w:val="00CC5B3E"/>
    <w:rsid w:val="00CD0682"/>
    <w:rsid w:val="00CD38A0"/>
    <w:rsid w:val="00CD70EE"/>
    <w:rsid w:val="00CE1A87"/>
    <w:rsid w:val="00CE5122"/>
    <w:rsid w:val="00CE71A7"/>
    <w:rsid w:val="00CF25EF"/>
    <w:rsid w:val="00CF4DD2"/>
    <w:rsid w:val="00D00788"/>
    <w:rsid w:val="00D0366E"/>
    <w:rsid w:val="00D04A96"/>
    <w:rsid w:val="00D04F01"/>
    <w:rsid w:val="00D05370"/>
    <w:rsid w:val="00D05B67"/>
    <w:rsid w:val="00D05D52"/>
    <w:rsid w:val="00D1594C"/>
    <w:rsid w:val="00D15D38"/>
    <w:rsid w:val="00D24980"/>
    <w:rsid w:val="00D26D53"/>
    <w:rsid w:val="00D31F43"/>
    <w:rsid w:val="00D40A65"/>
    <w:rsid w:val="00D40E59"/>
    <w:rsid w:val="00D415E6"/>
    <w:rsid w:val="00D41776"/>
    <w:rsid w:val="00D444C5"/>
    <w:rsid w:val="00D466DC"/>
    <w:rsid w:val="00D51AAE"/>
    <w:rsid w:val="00D530DC"/>
    <w:rsid w:val="00D55138"/>
    <w:rsid w:val="00D62023"/>
    <w:rsid w:val="00D620D6"/>
    <w:rsid w:val="00D63755"/>
    <w:rsid w:val="00D6378F"/>
    <w:rsid w:val="00D7070F"/>
    <w:rsid w:val="00D709DD"/>
    <w:rsid w:val="00D7460D"/>
    <w:rsid w:val="00D8294A"/>
    <w:rsid w:val="00D83F98"/>
    <w:rsid w:val="00D84A75"/>
    <w:rsid w:val="00D85F90"/>
    <w:rsid w:val="00D90649"/>
    <w:rsid w:val="00D90C42"/>
    <w:rsid w:val="00D9145D"/>
    <w:rsid w:val="00D91E89"/>
    <w:rsid w:val="00D9213D"/>
    <w:rsid w:val="00D965B1"/>
    <w:rsid w:val="00D973A9"/>
    <w:rsid w:val="00D97DF9"/>
    <w:rsid w:val="00D97F13"/>
    <w:rsid w:val="00DA3AB1"/>
    <w:rsid w:val="00DA44E8"/>
    <w:rsid w:val="00DA6526"/>
    <w:rsid w:val="00DA6C54"/>
    <w:rsid w:val="00DA6F4B"/>
    <w:rsid w:val="00DA7456"/>
    <w:rsid w:val="00DA7F91"/>
    <w:rsid w:val="00DB34CB"/>
    <w:rsid w:val="00DB374D"/>
    <w:rsid w:val="00DB6852"/>
    <w:rsid w:val="00DB7B6B"/>
    <w:rsid w:val="00DC1EB9"/>
    <w:rsid w:val="00DC4DB5"/>
    <w:rsid w:val="00DC54A3"/>
    <w:rsid w:val="00DC6528"/>
    <w:rsid w:val="00DC71C8"/>
    <w:rsid w:val="00DD181C"/>
    <w:rsid w:val="00DD2A1F"/>
    <w:rsid w:val="00DD2F2C"/>
    <w:rsid w:val="00DD48D9"/>
    <w:rsid w:val="00DE0B02"/>
    <w:rsid w:val="00DE0F42"/>
    <w:rsid w:val="00DE1540"/>
    <w:rsid w:val="00DE520C"/>
    <w:rsid w:val="00DE66B7"/>
    <w:rsid w:val="00DE77CC"/>
    <w:rsid w:val="00DF1E66"/>
    <w:rsid w:val="00DF3900"/>
    <w:rsid w:val="00DF60F1"/>
    <w:rsid w:val="00DF60FD"/>
    <w:rsid w:val="00DF62CE"/>
    <w:rsid w:val="00DF6410"/>
    <w:rsid w:val="00E007F7"/>
    <w:rsid w:val="00E03CAA"/>
    <w:rsid w:val="00E05F18"/>
    <w:rsid w:val="00E06A27"/>
    <w:rsid w:val="00E12202"/>
    <w:rsid w:val="00E136FF"/>
    <w:rsid w:val="00E16FAA"/>
    <w:rsid w:val="00E21B38"/>
    <w:rsid w:val="00E21E28"/>
    <w:rsid w:val="00E242C5"/>
    <w:rsid w:val="00E24673"/>
    <w:rsid w:val="00E24F26"/>
    <w:rsid w:val="00E25665"/>
    <w:rsid w:val="00E261B4"/>
    <w:rsid w:val="00E266FB"/>
    <w:rsid w:val="00E31E85"/>
    <w:rsid w:val="00E32021"/>
    <w:rsid w:val="00E331F1"/>
    <w:rsid w:val="00E3379F"/>
    <w:rsid w:val="00E36500"/>
    <w:rsid w:val="00E407FF"/>
    <w:rsid w:val="00E40C34"/>
    <w:rsid w:val="00E41E2C"/>
    <w:rsid w:val="00E44207"/>
    <w:rsid w:val="00E46B0C"/>
    <w:rsid w:val="00E509B0"/>
    <w:rsid w:val="00E54757"/>
    <w:rsid w:val="00E571D5"/>
    <w:rsid w:val="00E6178E"/>
    <w:rsid w:val="00E638C3"/>
    <w:rsid w:val="00E65291"/>
    <w:rsid w:val="00E66C57"/>
    <w:rsid w:val="00E66D00"/>
    <w:rsid w:val="00E70DDF"/>
    <w:rsid w:val="00E7224C"/>
    <w:rsid w:val="00E729F2"/>
    <w:rsid w:val="00E75DBD"/>
    <w:rsid w:val="00E762FC"/>
    <w:rsid w:val="00E7742F"/>
    <w:rsid w:val="00E77BF2"/>
    <w:rsid w:val="00E80287"/>
    <w:rsid w:val="00E805D3"/>
    <w:rsid w:val="00E8062C"/>
    <w:rsid w:val="00E80826"/>
    <w:rsid w:val="00E81BD0"/>
    <w:rsid w:val="00E84DA1"/>
    <w:rsid w:val="00E87610"/>
    <w:rsid w:val="00E879C9"/>
    <w:rsid w:val="00E90330"/>
    <w:rsid w:val="00E91332"/>
    <w:rsid w:val="00E94FA5"/>
    <w:rsid w:val="00E979C4"/>
    <w:rsid w:val="00EA22B0"/>
    <w:rsid w:val="00EA3045"/>
    <w:rsid w:val="00EA41C0"/>
    <w:rsid w:val="00EA5213"/>
    <w:rsid w:val="00EB06E5"/>
    <w:rsid w:val="00EB1F98"/>
    <w:rsid w:val="00EB2DBB"/>
    <w:rsid w:val="00EB32EB"/>
    <w:rsid w:val="00EB33B3"/>
    <w:rsid w:val="00EB399B"/>
    <w:rsid w:val="00EB3A33"/>
    <w:rsid w:val="00EB44B9"/>
    <w:rsid w:val="00EC1DE8"/>
    <w:rsid w:val="00EC25EB"/>
    <w:rsid w:val="00EC35AE"/>
    <w:rsid w:val="00EC38FD"/>
    <w:rsid w:val="00EC3944"/>
    <w:rsid w:val="00EC499E"/>
    <w:rsid w:val="00ED42ED"/>
    <w:rsid w:val="00ED4708"/>
    <w:rsid w:val="00EE06BC"/>
    <w:rsid w:val="00EE0D69"/>
    <w:rsid w:val="00EE0F26"/>
    <w:rsid w:val="00EE2ABB"/>
    <w:rsid w:val="00EE7050"/>
    <w:rsid w:val="00EE7FC3"/>
    <w:rsid w:val="00EF192B"/>
    <w:rsid w:val="00EF4108"/>
    <w:rsid w:val="00EF5388"/>
    <w:rsid w:val="00EF750D"/>
    <w:rsid w:val="00F016B7"/>
    <w:rsid w:val="00F0258D"/>
    <w:rsid w:val="00F02E5C"/>
    <w:rsid w:val="00F03A50"/>
    <w:rsid w:val="00F06A81"/>
    <w:rsid w:val="00F06B8A"/>
    <w:rsid w:val="00F06EB8"/>
    <w:rsid w:val="00F07A7D"/>
    <w:rsid w:val="00F1003C"/>
    <w:rsid w:val="00F10A64"/>
    <w:rsid w:val="00F14CE1"/>
    <w:rsid w:val="00F153C1"/>
    <w:rsid w:val="00F16839"/>
    <w:rsid w:val="00F16993"/>
    <w:rsid w:val="00F2118D"/>
    <w:rsid w:val="00F211E7"/>
    <w:rsid w:val="00F21CAC"/>
    <w:rsid w:val="00F21D37"/>
    <w:rsid w:val="00F221F0"/>
    <w:rsid w:val="00F25909"/>
    <w:rsid w:val="00F26136"/>
    <w:rsid w:val="00F270F2"/>
    <w:rsid w:val="00F2713B"/>
    <w:rsid w:val="00F30421"/>
    <w:rsid w:val="00F305D8"/>
    <w:rsid w:val="00F341AD"/>
    <w:rsid w:val="00F35A2E"/>
    <w:rsid w:val="00F37106"/>
    <w:rsid w:val="00F408F5"/>
    <w:rsid w:val="00F42283"/>
    <w:rsid w:val="00F423C1"/>
    <w:rsid w:val="00F43760"/>
    <w:rsid w:val="00F43824"/>
    <w:rsid w:val="00F44A2E"/>
    <w:rsid w:val="00F46849"/>
    <w:rsid w:val="00F47D57"/>
    <w:rsid w:val="00F505C1"/>
    <w:rsid w:val="00F55DC4"/>
    <w:rsid w:val="00F5757E"/>
    <w:rsid w:val="00F576B3"/>
    <w:rsid w:val="00F62C12"/>
    <w:rsid w:val="00F64492"/>
    <w:rsid w:val="00F649AD"/>
    <w:rsid w:val="00F66EDC"/>
    <w:rsid w:val="00F702C9"/>
    <w:rsid w:val="00F7253B"/>
    <w:rsid w:val="00F745E1"/>
    <w:rsid w:val="00F75A79"/>
    <w:rsid w:val="00F7620E"/>
    <w:rsid w:val="00F775AD"/>
    <w:rsid w:val="00F80E07"/>
    <w:rsid w:val="00F8112F"/>
    <w:rsid w:val="00F819BE"/>
    <w:rsid w:val="00F83AAC"/>
    <w:rsid w:val="00F90326"/>
    <w:rsid w:val="00F9093D"/>
    <w:rsid w:val="00F90F86"/>
    <w:rsid w:val="00F92DF0"/>
    <w:rsid w:val="00F92F70"/>
    <w:rsid w:val="00F95A9A"/>
    <w:rsid w:val="00F96945"/>
    <w:rsid w:val="00F96A91"/>
    <w:rsid w:val="00FA0454"/>
    <w:rsid w:val="00FA4799"/>
    <w:rsid w:val="00FA4A9E"/>
    <w:rsid w:val="00FA5C1E"/>
    <w:rsid w:val="00FB0A21"/>
    <w:rsid w:val="00FB1248"/>
    <w:rsid w:val="00FB217D"/>
    <w:rsid w:val="00FB29CC"/>
    <w:rsid w:val="00FB2F13"/>
    <w:rsid w:val="00FB394D"/>
    <w:rsid w:val="00FB45AE"/>
    <w:rsid w:val="00FB4BAB"/>
    <w:rsid w:val="00FB4C57"/>
    <w:rsid w:val="00FB5310"/>
    <w:rsid w:val="00FC0522"/>
    <w:rsid w:val="00FC27B9"/>
    <w:rsid w:val="00FC2DE3"/>
    <w:rsid w:val="00FC634A"/>
    <w:rsid w:val="00FC6B49"/>
    <w:rsid w:val="00FC76AE"/>
    <w:rsid w:val="00FD06FA"/>
    <w:rsid w:val="00FD290D"/>
    <w:rsid w:val="00FD3D04"/>
    <w:rsid w:val="00FD49A0"/>
    <w:rsid w:val="00FD533B"/>
    <w:rsid w:val="00FD5C07"/>
    <w:rsid w:val="00FE27DE"/>
    <w:rsid w:val="00FE2B3C"/>
    <w:rsid w:val="00FE351A"/>
    <w:rsid w:val="00FE444F"/>
    <w:rsid w:val="00FF1772"/>
    <w:rsid w:val="00FF1787"/>
    <w:rsid w:val="00FF1D2E"/>
    <w:rsid w:val="00FF3437"/>
    <w:rsid w:val="00FF66CA"/>
    <w:rsid w:val="00FF72C5"/>
    <w:rsid w:val="01A12567"/>
    <w:rsid w:val="0257D35E"/>
    <w:rsid w:val="031DCE86"/>
    <w:rsid w:val="06BB3E74"/>
    <w:rsid w:val="0747766B"/>
    <w:rsid w:val="08A7D0FA"/>
    <w:rsid w:val="0967CC42"/>
    <w:rsid w:val="0C4CB600"/>
    <w:rsid w:val="11374091"/>
    <w:rsid w:val="11F168D5"/>
    <w:rsid w:val="1265722A"/>
    <w:rsid w:val="1312131F"/>
    <w:rsid w:val="13EF14F6"/>
    <w:rsid w:val="141E718F"/>
    <w:rsid w:val="149DD0C5"/>
    <w:rsid w:val="1505D7BB"/>
    <w:rsid w:val="160E15C6"/>
    <w:rsid w:val="180EB886"/>
    <w:rsid w:val="19243C6B"/>
    <w:rsid w:val="1DBC0589"/>
    <w:rsid w:val="1E76C5BA"/>
    <w:rsid w:val="1FF6CA97"/>
    <w:rsid w:val="200121EE"/>
    <w:rsid w:val="22F3EEEC"/>
    <w:rsid w:val="248FBF4D"/>
    <w:rsid w:val="24CDF138"/>
    <w:rsid w:val="2667B852"/>
    <w:rsid w:val="2DA04729"/>
    <w:rsid w:val="32326C7D"/>
    <w:rsid w:val="36D09984"/>
    <w:rsid w:val="378A78BB"/>
    <w:rsid w:val="394D4DAE"/>
    <w:rsid w:val="3AEAABB1"/>
    <w:rsid w:val="3BB2B5C8"/>
    <w:rsid w:val="3D66928A"/>
    <w:rsid w:val="3EA65122"/>
    <w:rsid w:val="3EBD4D75"/>
    <w:rsid w:val="41BD41A3"/>
    <w:rsid w:val="425BC457"/>
    <w:rsid w:val="44A04436"/>
    <w:rsid w:val="464522D6"/>
    <w:rsid w:val="4A0D87E0"/>
    <w:rsid w:val="4A2618C5"/>
    <w:rsid w:val="513CB86B"/>
    <w:rsid w:val="55C480BF"/>
    <w:rsid w:val="5602793A"/>
    <w:rsid w:val="56ADF139"/>
    <w:rsid w:val="5821D22C"/>
    <w:rsid w:val="5ACF1B91"/>
    <w:rsid w:val="5C423C14"/>
    <w:rsid w:val="5DB30C53"/>
    <w:rsid w:val="606BB128"/>
    <w:rsid w:val="65F57633"/>
    <w:rsid w:val="68996D96"/>
    <w:rsid w:val="699BBFDA"/>
    <w:rsid w:val="6C40331A"/>
    <w:rsid w:val="6CB53906"/>
    <w:rsid w:val="6E80773C"/>
    <w:rsid w:val="6F61095F"/>
    <w:rsid w:val="72B295D7"/>
    <w:rsid w:val="72B616EA"/>
    <w:rsid w:val="75EF3542"/>
    <w:rsid w:val="7958FE85"/>
    <w:rsid w:val="798CC535"/>
    <w:rsid w:val="7D5E7BD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C49E0"/>
  <w15:chartTrackingRefBased/>
  <w15:docId w15:val="{E4E26F92-1BD6-4441-8512-5931822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rsid w:val="00925058"/>
    <w:rPr>
      <w:rFonts w:ascii="Times" w:eastAsia="Times" w:hAnsi="Times"/>
      <w:lang w:val="en-US"/>
    </w:rPr>
  </w:style>
  <w:style w:type="character" w:customStyle="1" w:styleId="TextonotapieCar">
    <w:name w:val="Texto nota pie Car"/>
    <w:aliases w:val="ALTS FOOTNOTE Car,Footnote Text Char1 Car,Footnote Text Char Char1 Car,Footnote Text Char4 Char Char Car,Footnote Text Char1 Char1 Char1 Char Car,Footnote Text Char Char1 Char1 Char Char Car,DNV-FT Car"/>
    <w:link w:val="Textonotapie"/>
    <w:uiPriority w:val="99"/>
    <w:rsid w:val="00925058"/>
    <w:rPr>
      <w:rFonts w:ascii="Times" w:eastAsia="Times" w:hAnsi="Times"/>
      <w:lang w:val="en-US" w:eastAsia="es-ES"/>
    </w:rPr>
  </w:style>
  <w:style w:type="character" w:styleId="Refdenotaalpie">
    <w:name w:val="footnote reference"/>
    <w:aliases w:val="Appel note de bas de p,Footnote Reference/,Ref,de nota al pi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w:basedOn w:val="Normal"/>
    <w:next w:val="Normal"/>
    <w:uiPriority w:val="35"/>
    <w:unhideWhenUsed/>
    <w:qFormat/>
    <w:rsid w:val="00900C7B"/>
    <w:pPr>
      <w:spacing w:after="160" w:line="259" w:lineRule="auto"/>
      <w:jc w:val="both"/>
    </w:pPr>
    <w:rPr>
      <w:rFonts w:ascii="Calibri" w:eastAsia="Calibri" w:hAnsi="Calibri"/>
      <w:b/>
      <w:bCs/>
      <w:lang w:val="es-CO" w:eastAsia="en-US"/>
    </w:rPr>
  </w:style>
  <w:style w:type="paragraph" w:customStyle="1" w:styleId="ParrafoANE">
    <w:name w:val="Parrafo ANE"/>
    <w:basedOn w:val="Normal"/>
    <w:link w:val="ParrafoANECar"/>
    <w:qFormat/>
    <w:rsid w:val="00900C7B"/>
    <w:pPr>
      <w:spacing w:before="120" w:after="120"/>
      <w:jc w:val="both"/>
    </w:pPr>
    <w:rPr>
      <w:rFonts w:ascii="Arial Narrow" w:eastAsia="Calibri" w:hAnsi="Arial Narrow" w:cs="Arial"/>
      <w:sz w:val="24"/>
      <w:szCs w:val="22"/>
      <w:lang w:val="es-CO" w:eastAsia="en-US"/>
    </w:rPr>
  </w:style>
  <w:style w:type="character" w:customStyle="1" w:styleId="ParrafoANECar">
    <w:name w:val="Parrafo ANE Car"/>
    <w:link w:val="ParrafoANE"/>
    <w:rsid w:val="00900C7B"/>
    <w:rPr>
      <w:rFonts w:ascii="Arial Narrow" w:eastAsia="Calibri" w:hAnsi="Arial Narrow" w:cs="Arial"/>
      <w:sz w:val="24"/>
      <w:szCs w:val="22"/>
      <w:lang w:eastAsia="en-US"/>
    </w:rPr>
  </w:style>
  <w:style w:type="character" w:customStyle="1" w:styleId="TextocomentarioCar">
    <w:name w:val="Texto comentario Car"/>
    <w:link w:val="Textocomentario"/>
    <w:uiPriority w:val="99"/>
    <w:rsid w:val="001A19F4"/>
    <w:rPr>
      <w:rFonts w:ascii="Arial" w:hAnsi="Arial"/>
      <w:lang w:val="es-ES" w:eastAsia="es-ES"/>
    </w:rPr>
  </w:style>
  <w:style w:type="paragraph" w:customStyle="1" w:styleId="paragraph">
    <w:name w:val="paragraph"/>
    <w:basedOn w:val="Normal"/>
    <w:rsid w:val="00B96AA7"/>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rsid w:val="00B96AA7"/>
  </w:style>
  <w:style w:type="paragraph" w:styleId="Prrafodelista">
    <w:name w:val="List Paragraph"/>
    <w:basedOn w:val="Normal"/>
    <w:uiPriority w:val="72"/>
    <w:qFormat/>
    <w:rsid w:val="00252C06"/>
    <w:pPr>
      <w:ind w:left="720"/>
      <w:contextualSpacing/>
    </w:pPr>
  </w:style>
  <w:style w:type="character" w:styleId="Mencinsinresolver">
    <w:name w:val="Unresolved Mention"/>
    <w:basedOn w:val="Fuentedeprrafopredeter"/>
    <w:uiPriority w:val="99"/>
    <w:semiHidden/>
    <w:unhideWhenUsed/>
    <w:rsid w:val="00C92A2D"/>
    <w:rPr>
      <w:color w:val="605E5C"/>
      <w:shd w:val="clear" w:color="auto" w:fill="E1DFDD"/>
    </w:rPr>
  </w:style>
  <w:style w:type="paragraph" w:styleId="Revisin">
    <w:name w:val="Revision"/>
    <w:hidden/>
    <w:uiPriority w:val="71"/>
    <w:rsid w:val="003D13D2"/>
    <w:rPr>
      <w:rFonts w:ascii="Arial" w:hAnsi="Arial"/>
      <w:lang w:eastAsia="es-ES"/>
    </w:rPr>
  </w:style>
  <w:style w:type="character" w:styleId="Hipervnculovisitado">
    <w:name w:val="FollowedHyperlink"/>
    <w:basedOn w:val="Fuentedeprrafopredeter"/>
    <w:rsid w:val="009C14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89257150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com.gov.co/es/proyectos-regulatorios/2000-71-1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rcom.gov.co/es/proyectos-regulatorios/2000-71-17" TargetMode="External"/><Relationship Id="rId2" Type="http://schemas.openxmlformats.org/officeDocument/2006/relationships/hyperlink" Target="https://crcom.gov.co/es/proyectos-regulatorios/2000-71-17" TargetMode="External"/><Relationship Id="rId1" Type="http://schemas.openxmlformats.org/officeDocument/2006/relationships/hyperlink" Target="https://www.crcom.gov.co/es/proyectos-regulatorios/2000-71-17" TargetMode="External"/><Relationship Id="rId4" Type="http://schemas.openxmlformats.org/officeDocument/2006/relationships/hyperlink" Target="https://www.crcom.gov.co/es/pagina/simplificacion-marco-regulatorio-para-restriccion-equipos-terminales-hurt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95BE1C5784DE498D8E92E70886F4E5" ma:contentTypeVersion="13" ma:contentTypeDescription="Crear nuevo documento." ma:contentTypeScope="" ma:versionID="916b79a04a6b0fee136d4e59a3f20064">
  <xsd:schema xmlns:xsd="http://www.w3.org/2001/XMLSchema" xmlns:xs="http://www.w3.org/2001/XMLSchema" xmlns:p="http://schemas.microsoft.com/office/2006/metadata/properties" xmlns:ns3="e836ba59-670f-4337-bd6c-579e1a13d40c" xmlns:ns4="ac9ad953-fae7-4a6e-a16b-a4e92b5d59c9" targetNamespace="http://schemas.microsoft.com/office/2006/metadata/properties" ma:root="true" ma:fieldsID="8ec356abe4e1315b82fbaa9c7fd3a885" ns3:_="" ns4:_="">
    <xsd:import namespace="e836ba59-670f-4337-bd6c-579e1a13d40c"/>
    <xsd:import namespace="ac9ad953-fae7-4a6e-a16b-a4e92b5d59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6ba59-670f-4337-bd6c-579e1a13d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9ad953-fae7-4a6e-a16b-a4e92b5d59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F8F1C-C4BB-47C0-993E-6C897341C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6ba59-670f-4337-bd6c-579e1a13d40c"/>
    <ds:schemaRef ds:uri="ac9ad953-fae7-4a6e-a16b-a4e92b5d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1011D-3376-47F1-982C-D8EC554DF2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DB19ED-3899-431E-88F2-873687CF863F}">
  <ds:schemaRefs>
    <ds:schemaRef ds:uri="http://schemas.microsoft.com/sharepoint/v3/contenttype/forms"/>
  </ds:schemaRefs>
</ds:datastoreItem>
</file>

<file path=customXml/itemProps4.xml><?xml version="1.0" encoding="utf-8"?>
<ds:datastoreItem xmlns:ds="http://schemas.openxmlformats.org/officeDocument/2006/customXml" ds:itemID="{E596A749-C457-48A4-9E62-3C6D6AAF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2337</Words>
  <Characters>12856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Jesus David Rueda Pepinosa</cp:lastModifiedBy>
  <cp:revision>7</cp:revision>
  <cp:lastPrinted>2019-07-09T02:30:00Z</cp:lastPrinted>
  <dcterms:created xsi:type="dcterms:W3CDTF">2022-06-21T16:20:00Z</dcterms:created>
  <dcterms:modified xsi:type="dcterms:W3CDTF">2022-11-25T16:51:00Z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0x0101007895BE1C5784DE498D8E92E70886F4E5</vt:lpwstr>
  </property>
  <property fmtid="{D5CDD505-2E9C-101B-9397-08002B2CF9AE}" pid="3" name="MediaServiceImageTags">
    <vt:lpwstr/>
  </property>
</Properties>
</file>