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241BB8"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241BB8" w:rsidRDefault="00795C6B" w:rsidP="00241BB8">
            <w:pPr>
              <w:pStyle w:val="Heading2"/>
              <w:ind w:right="72"/>
              <w:jc w:val="left"/>
              <w:rPr>
                <w:rFonts w:cs="Arial"/>
                <w:bCs/>
                <w:sz w:val="22"/>
                <w:szCs w:val="22"/>
              </w:rPr>
            </w:pPr>
            <w:r w:rsidRPr="00241BB8">
              <w:rPr>
                <w:rFonts w:cs="Arial"/>
                <w:sz w:val="22"/>
                <w:szCs w:val="22"/>
                <w:lang w:val="es-CO"/>
              </w:rPr>
              <w:t>Entidad</w:t>
            </w:r>
            <w:r w:rsidR="00086B16" w:rsidRPr="00241BB8">
              <w:rPr>
                <w:rFonts w:cs="Arial"/>
                <w:sz w:val="22"/>
                <w:szCs w:val="22"/>
                <w:lang w:val="es-CO"/>
              </w:rPr>
              <w:t xml:space="preserve"> </w:t>
            </w:r>
            <w:r w:rsidRPr="00241BB8">
              <w:rPr>
                <w:rFonts w:cs="Arial"/>
                <w:sz w:val="22"/>
                <w:szCs w:val="22"/>
                <w:lang w:val="es-CO"/>
              </w:rPr>
              <w:t>originadora</w:t>
            </w:r>
            <w:r w:rsidR="00293F29" w:rsidRPr="00241BB8">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41A62580" w:rsidR="0026513E" w:rsidRPr="00692477" w:rsidRDefault="00692477" w:rsidP="00241BB8">
            <w:pPr>
              <w:pStyle w:val="Heading2"/>
              <w:ind w:left="72" w:right="72"/>
              <w:jc w:val="left"/>
              <w:rPr>
                <w:rFonts w:cs="Arial"/>
                <w:b w:val="0"/>
                <w:iCs/>
                <w:color w:val="808080"/>
                <w:sz w:val="22"/>
                <w:szCs w:val="22"/>
              </w:rPr>
            </w:pPr>
            <w:r w:rsidRPr="00692477">
              <w:rPr>
                <w:rFonts w:cs="Arial"/>
                <w:b w:val="0"/>
                <w:iCs/>
                <w:color w:val="000000" w:themeColor="text1"/>
                <w:sz w:val="22"/>
                <w:szCs w:val="22"/>
              </w:rPr>
              <w:t>Ministerio de Tecnologías de la Información y las Comunicaciones</w:t>
            </w:r>
          </w:p>
        </w:tc>
      </w:tr>
      <w:tr w:rsidR="005C4522" w:rsidRPr="00241BB8"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241BB8" w:rsidRDefault="0026513E" w:rsidP="00241BB8">
            <w:pPr>
              <w:pStyle w:val="Heading2"/>
              <w:ind w:right="72"/>
              <w:jc w:val="left"/>
              <w:rPr>
                <w:rFonts w:cs="Arial"/>
                <w:bCs/>
                <w:sz w:val="22"/>
                <w:szCs w:val="22"/>
              </w:rPr>
            </w:pPr>
            <w:r w:rsidRPr="00241BB8">
              <w:rPr>
                <w:rFonts w:cs="Arial"/>
                <w:bCs/>
                <w:sz w:val="22"/>
                <w:szCs w:val="22"/>
              </w:rPr>
              <w:t>Fecha</w:t>
            </w:r>
            <w:r w:rsidR="00BB545F" w:rsidRPr="00241BB8">
              <w:rPr>
                <w:rFonts w:cs="Arial"/>
                <w:bCs/>
                <w:sz w:val="22"/>
                <w:szCs w:val="22"/>
              </w:rPr>
              <w:t xml:space="preserve"> (</w:t>
            </w:r>
            <w:proofErr w:type="spellStart"/>
            <w:r w:rsidR="00BB545F" w:rsidRPr="00241BB8">
              <w:rPr>
                <w:rFonts w:cs="Arial"/>
                <w:bCs/>
                <w:sz w:val="22"/>
                <w:szCs w:val="22"/>
              </w:rPr>
              <w:t>dd</w:t>
            </w:r>
            <w:proofErr w:type="spellEnd"/>
            <w:r w:rsidR="00BB545F" w:rsidRPr="00241BB8">
              <w:rPr>
                <w:rFonts w:cs="Arial"/>
                <w:bCs/>
                <w:sz w:val="22"/>
                <w:szCs w:val="22"/>
              </w:rPr>
              <w:t>/mm/</w:t>
            </w:r>
            <w:proofErr w:type="spellStart"/>
            <w:r w:rsidR="00BB545F" w:rsidRPr="00241BB8">
              <w:rPr>
                <w:rFonts w:cs="Arial"/>
                <w:bCs/>
                <w:sz w:val="22"/>
                <w:szCs w:val="22"/>
              </w:rPr>
              <w:t>aa</w:t>
            </w:r>
            <w:proofErr w:type="spellEnd"/>
            <w:r w:rsidR="00BB545F" w:rsidRPr="00241BB8">
              <w:rPr>
                <w:rFonts w:cs="Arial"/>
                <w:bCs/>
                <w:sz w:val="22"/>
                <w:szCs w:val="22"/>
              </w:rPr>
              <w:t>)</w:t>
            </w:r>
            <w:r w:rsidR="00293F29" w:rsidRPr="00241BB8">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77777777" w:rsidR="00C47F73" w:rsidRPr="00241BB8" w:rsidRDefault="00795C6B" w:rsidP="00241BB8">
            <w:pPr>
              <w:pStyle w:val="Heading2"/>
              <w:ind w:left="72" w:right="72"/>
              <w:jc w:val="left"/>
              <w:rPr>
                <w:rFonts w:cs="Arial"/>
                <w:b w:val="0"/>
                <w:sz w:val="22"/>
                <w:szCs w:val="22"/>
              </w:rPr>
            </w:pPr>
            <w:r w:rsidRPr="00241BB8">
              <w:rPr>
                <w:rFonts w:cs="Arial"/>
                <w:b w:val="0"/>
                <w:i/>
                <w:color w:val="808080"/>
                <w:sz w:val="22"/>
                <w:szCs w:val="22"/>
              </w:rPr>
              <w:t>Indique la fecha en que se presenta a Secretaría Jurídica de Presidencia</w:t>
            </w:r>
          </w:p>
        </w:tc>
      </w:tr>
      <w:tr w:rsidR="005C4522" w:rsidRPr="00241BB8"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241BB8" w:rsidRDefault="00A55DB6" w:rsidP="00241BB8">
            <w:pPr>
              <w:pStyle w:val="Heading2"/>
              <w:ind w:right="72"/>
              <w:jc w:val="left"/>
              <w:rPr>
                <w:rFonts w:cs="Arial"/>
                <w:bCs/>
                <w:sz w:val="22"/>
                <w:szCs w:val="22"/>
              </w:rPr>
            </w:pPr>
            <w:r w:rsidRPr="00241BB8">
              <w:rPr>
                <w:rFonts w:cs="Arial"/>
                <w:bCs/>
                <w:sz w:val="22"/>
                <w:szCs w:val="22"/>
              </w:rPr>
              <w:t xml:space="preserve">Proyecto de </w:t>
            </w:r>
            <w:r w:rsidR="00587695" w:rsidRPr="00241BB8">
              <w:rPr>
                <w:rFonts w:cs="Arial"/>
                <w:bCs/>
                <w:sz w:val="22"/>
                <w:szCs w:val="22"/>
              </w:rPr>
              <w:t>D</w:t>
            </w:r>
            <w:r w:rsidRPr="00241BB8">
              <w:rPr>
                <w:rFonts w:cs="Arial"/>
                <w:bCs/>
                <w:sz w:val="22"/>
                <w:szCs w:val="22"/>
              </w:rPr>
              <w:t>ecreto</w:t>
            </w:r>
            <w:r w:rsidR="00795C6B" w:rsidRPr="00241BB8">
              <w:rPr>
                <w:rFonts w:cs="Arial"/>
                <w:bCs/>
                <w:sz w:val="22"/>
                <w:szCs w:val="22"/>
              </w:rPr>
              <w:t>/Resolución</w:t>
            </w:r>
            <w:r w:rsidR="00293F29" w:rsidRPr="00241BB8">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72262726" w:rsidR="001F238A" w:rsidRPr="00692477" w:rsidRDefault="00692477" w:rsidP="00692477">
            <w:pPr>
              <w:jc w:val="center"/>
              <w:rPr>
                <w:rFonts w:cs="Arial"/>
                <w:sz w:val="22"/>
                <w:szCs w:val="22"/>
                <w:lang w:val="es-CO" w:eastAsia="es-CO"/>
              </w:rPr>
            </w:pPr>
            <w:r w:rsidRPr="00692477">
              <w:rPr>
                <w:rFonts w:cs="Arial"/>
                <w:sz w:val="22"/>
                <w:szCs w:val="22"/>
                <w:lang w:val="es-CO" w:eastAsia="es-CO"/>
              </w:rPr>
              <w:t>“Por la cual se modifican el literal c) del artículo 12</w:t>
            </w:r>
            <w:r w:rsidR="008E2BD1">
              <w:rPr>
                <w:rFonts w:cs="Arial"/>
                <w:sz w:val="22"/>
                <w:szCs w:val="22"/>
                <w:lang w:val="es-CO" w:eastAsia="es-CO"/>
              </w:rPr>
              <w:t>,</w:t>
            </w:r>
            <w:r w:rsidRPr="00692477">
              <w:rPr>
                <w:rFonts w:cs="Arial"/>
                <w:sz w:val="22"/>
                <w:szCs w:val="22"/>
                <w:lang w:val="es-CO" w:eastAsia="es-CO"/>
              </w:rPr>
              <w:t xml:space="preserve"> el parágrafo del articulo 29 </w:t>
            </w:r>
            <w:r w:rsidR="008E2BD1">
              <w:rPr>
                <w:rFonts w:cs="Arial"/>
                <w:sz w:val="22"/>
                <w:szCs w:val="22"/>
                <w:lang w:val="es-CO" w:eastAsia="es-CO"/>
              </w:rPr>
              <w:t xml:space="preserve">y </w:t>
            </w:r>
            <w:r w:rsidR="00981F7B">
              <w:rPr>
                <w:rFonts w:cs="Arial"/>
                <w:sz w:val="22"/>
                <w:szCs w:val="22"/>
                <w:lang w:val="es-CO" w:eastAsia="es-CO"/>
              </w:rPr>
              <w:t xml:space="preserve">parágrafo del </w:t>
            </w:r>
            <w:r w:rsidR="008E2BD1">
              <w:rPr>
                <w:rFonts w:cs="Arial"/>
                <w:sz w:val="22"/>
                <w:szCs w:val="22"/>
                <w:lang w:val="es-CO" w:eastAsia="es-CO"/>
              </w:rPr>
              <w:t xml:space="preserve">artículo 32 </w:t>
            </w:r>
            <w:r w:rsidRPr="00692477">
              <w:rPr>
                <w:rFonts w:cs="Arial"/>
                <w:sz w:val="22"/>
                <w:szCs w:val="22"/>
                <w:lang w:val="es-CO" w:eastAsia="es-CO"/>
              </w:rPr>
              <w:t>de la Resolución 03556 de 2024”</w:t>
            </w:r>
          </w:p>
        </w:tc>
      </w:tr>
      <w:tr w:rsidR="00DF60FD" w:rsidRPr="00241BB8"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241BB8" w:rsidRDefault="006315B4" w:rsidP="0070210C">
            <w:pPr>
              <w:autoSpaceDE w:val="0"/>
              <w:autoSpaceDN w:val="0"/>
              <w:adjustRightInd w:val="0"/>
              <w:jc w:val="both"/>
              <w:rPr>
                <w:rFonts w:eastAsia="Calibri" w:cs="Arial"/>
                <w:sz w:val="22"/>
                <w:szCs w:val="22"/>
                <w:lang w:val="es-CO" w:eastAsia="en-US"/>
              </w:rPr>
            </w:pPr>
          </w:p>
          <w:p w14:paraId="23A54342" w14:textId="77777777" w:rsidR="0095690D" w:rsidRPr="00241BB8" w:rsidRDefault="0095690D" w:rsidP="0070210C">
            <w:pPr>
              <w:numPr>
                <w:ilvl w:val="0"/>
                <w:numId w:val="44"/>
              </w:numPr>
              <w:ind w:left="494"/>
              <w:rPr>
                <w:rFonts w:cs="Arial"/>
                <w:b/>
                <w:color w:val="000000"/>
                <w:sz w:val="22"/>
                <w:szCs w:val="22"/>
                <w:lang w:val="es-CO"/>
              </w:rPr>
            </w:pPr>
            <w:r w:rsidRPr="00241BB8">
              <w:rPr>
                <w:rFonts w:cs="Arial"/>
                <w:b/>
                <w:color w:val="000000"/>
                <w:sz w:val="22"/>
                <w:szCs w:val="22"/>
                <w:lang w:val="es-CO"/>
              </w:rPr>
              <w:t>ANTECEDENTES Y RAZONES DE OPORTUNIDAD Y CONVENIENCIA QUE JUSTIFICAN SU EXPEDICIÓN.</w:t>
            </w:r>
          </w:p>
          <w:p w14:paraId="16A2DEE8" w14:textId="77777777" w:rsidR="002E4A97" w:rsidRPr="00241BB8" w:rsidRDefault="002E4A97" w:rsidP="0070210C">
            <w:pPr>
              <w:pStyle w:val="Listavistosa-nfasis11"/>
              <w:spacing w:after="0" w:line="240" w:lineRule="auto"/>
              <w:ind w:left="0"/>
              <w:jc w:val="both"/>
              <w:rPr>
                <w:rFonts w:ascii="Arial" w:hAnsi="Arial" w:cs="Arial"/>
                <w:i/>
                <w:color w:val="808080"/>
              </w:rPr>
            </w:pPr>
          </w:p>
          <w:p w14:paraId="6A198317" w14:textId="77777777" w:rsidR="00B508C9" w:rsidRPr="00241BB8" w:rsidRDefault="00B508C9" w:rsidP="0070210C">
            <w:pPr>
              <w:pStyle w:val="Listavistosa-nfasis11"/>
              <w:spacing w:after="0" w:line="240" w:lineRule="auto"/>
              <w:ind w:left="0"/>
              <w:jc w:val="both"/>
              <w:rPr>
                <w:rFonts w:ascii="Arial" w:hAnsi="Arial" w:cs="Arial"/>
              </w:rPr>
            </w:pPr>
            <w:r w:rsidRPr="00241BB8">
              <w:rPr>
                <w:rFonts w:ascii="Arial" w:hAnsi="Arial" w:cs="Arial"/>
              </w:rPr>
              <w:t xml:space="preserve">El numeral 5 del artículo 2 de la Ley 1341 de 2009 establece como uno de sus principios orientadores la “Promoción de la inversión”, según el cual el Estado asegura que los recursos del Fondo Único de Tecnologías de la Información y las Comunicaciones (FUTIC) se destinen de manera específica para el desarrollo de la radiodifusión sonora pública, la televisión pública y la promoción de los contenidos multiplataforma de interés público que promuevan la preservación de la cultura y la identidad nacional y regional, y la apropiación tecnológica mediante el desarrollo de contenidos y aplicaciones con enfoque social y el aprovechamiento de las TIC con enfoque productivo para el sector rural. </w:t>
            </w:r>
          </w:p>
          <w:p w14:paraId="3E318DE0" w14:textId="77777777" w:rsidR="00B508C9" w:rsidRPr="00241BB8" w:rsidRDefault="00B508C9" w:rsidP="0070210C">
            <w:pPr>
              <w:pStyle w:val="Listavistosa-nfasis11"/>
              <w:spacing w:after="0" w:line="240" w:lineRule="auto"/>
              <w:ind w:left="0"/>
              <w:jc w:val="both"/>
              <w:rPr>
                <w:rFonts w:ascii="Arial" w:hAnsi="Arial" w:cs="Arial"/>
              </w:rPr>
            </w:pPr>
          </w:p>
          <w:p w14:paraId="7D501294" w14:textId="77777777" w:rsidR="00B508C9" w:rsidRPr="00241BB8" w:rsidRDefault="00B508C9" w:rsidP="0070210C">
            <w:pPr>
              <w:pStyle w:val="Listavistosa-nfasis11"/>
              <w:spacing w:after="0" w:line="240" w:lineRule="auto"/>
              <w:ind w:left="0"/>
              <w:jc w:val="both"/>
              <w:rPr>
                <w:rFonts w:ascii="Arial" w:hAnsi="Arial" w:cs="Arial"/>
              </w:rPr>
            </w:pPr>
            <w:r w:rsidRPr="00241BB8">
              <w:rPr>
                <w:rFonts w:ascii="Arial" w:hAnsi="Arial" w:cs="Arial"/>
              </w:rPr>
              <w:t xml:space="preserve">En este mismo sentido el numeral 9 del artículo mencionado establece como principio la “Promoción de los contenidos multiplataforma de interés público”, que implica la garantía por parte del Estado de la promoción de los contenidos multiplataforma de interés público, a nivel nacional y regional, cuyo objetivo es fomentar la participación ciudadana y promover valores cívicos, el reconocimiento de las diversas identidades étnicas, culturales y religiosas, la equidad de género, la inclusión política y social, así como la integración nacional, el fortalecimiento de la democracia y el acceso al conocimiento, a través de la radiodifusión sonora pública y la televisión pública y el uso de nuevos medios públicos mediante mecanismos multiplataforma. </w:t>
            </w:r>
          </w:p>
          <w:p w14:paraId="1DB5C384" w14:textId="77777777" w:rsidR="00B508C9" w:rsidRPr="00241BB8" w:rsidRDefault="00B508C9" w:rsidP="0070210C">
            <w:pPr>
              <w:pStyle w:val="Listavistosa-nfasis11"/>
              <w:spacing w:after="0" w:line="240" w:lineRule="auto"/>
              <w:ind w:left="0"/>
              <w:jc w:val="both"/>
              <w:rPr>
                <w:rFonts w:ascii="Arial" w:hAnsi="Arial" w:cs="Arial"/>
              </w:rPr>
            </w:pPr>
          </w:p>
          <w:p w14:paraId="757B64DE" w14:textId="77777777" w:rsidR="00B508C9" w:rsidRPr="00241BB8" w:rsidRDefault="00B508C9" w:rsidP="0070210C">
            <w:pPr>
              <w:pStyle w:val="Listavistosa-nfasis11"/>
              <w:spacing w:after="0" w:line="240" w:lineRule="auto"/>
              <w:ind w:left="0"/>
              <w:jc w:val="both"/>
              <w:rPr>
                <w:rFonts w:ascii="Arial" w:hAnsi="Arial" w:cs="Arial"/>
                <w:i/>
                <w:iCs/>
              </w:rPr>
            </w:pPr>
            <w:r w:rsidRPr="00241BB8">
              <w:rPr>
                <w:rFonts w:ascii="Arial" w:hAnsi="Arial" w:cs="Arial"/>
              </w:rPr>
              <w:t xml:space="preserve">Por su parte, el inciso 3 del artículo 34 de la Ley 1341 de 2009 dispone que </w:t>
            </w:r>
            <w:r w:rsidRPr="00241BB8">
              <w:rPr>
                <w:rFonts w:ascii="Arial" w:hAnsi="Arial" w:cs="Arial"/>
                <w:i/>
                <w:iCs/>
              </w:rPr>
              <w:t>“[c]omo garantía de la televisión pública y de la radiodifusión sonora pública, se mantendrá anualmente, por lo menos, el monto máximo de recursos que, desde la creación del Fondo para el Desarrollo de la Televisión y los Contenidos (</w:t>
            </w:r>
            <w:proofErr w:type="spellStart"/>
            <w:r w:rsidRPr="00241BB8">
              <w:rPr>
                <w:rFonts w:ascii="Arial" w:hAnsi="Arial" w:cs="Arial"/>
                <w:i/>
                <w:iCs/>
              </w:rPr>
              <w:t>FonTV</w:t>
            </w:r>
            <w:proofErr w:type="spellEnd"/>
            <w:r w:rsidRPr="00241BB8">
              <w:rPr>
                <w:rFonts w:ascii="Arial" w:hAnsi="Arial" w:cs="Arial"/>
                <w:i/>
                <w:iCs/>
              </w:rPr>
              <w:t>), fueron destinados por este a RTVC y a los canales regionales de televisión. Así mismo, se mantendrá, por lo menos, el monto promedio destinado a RTVC por el Fondo de Tecnologías de la Información y las Comunicaciones (</w:t>
            </w:r>
            <w:proofErr w:type="spellStart"/>
            <w:r w:rsidRPr="00241BB8">
              <w:rPr>
                <w:rFonts w:ascii="Arial" w:hAnsi="Arial" w:cs="Arial"/>
                <w:i/>
                <w:iCs/>
              </w:rPr>
              <w:t>FonTIC</w:t>
            </w:r>
            <w:proofErr w:type="spellEnd"/>
            <w:r w:rsidRPr="00241BB8">
              <w:rPr>
                <w:rFonts w:ascii="Arial" w:hAnsi="Arial" w:cs="Arial"/>
                <w:i/>
                <w:iCs/>
              </w:rPr>
              <w:t xml:space="preserve">), desde su creación, para la radiodifusión sonora pública. Estos montos serán traídos a su valor presente al momento de la entrada en vigencia de la presente ley y esta base será ajustada en el mismo porcentaje de variación anual del Índice de Precios al Consumidor (IPC)”. </w:t>
            </w:r>
          </w:p>
          <w:p w14:paraId="479990A5" w14:textId="77777777" w:rsidR="00B508C9" w:rsidRPr="00241BB8" w:rsidRDefault="00B508C9" w:rsidP="0070210C">
            <w:pPr>
              <w:pStyle w:val="Listavistosa-nfasis11"/>
              <w:spacing w:after="0" w:line="240" w:lineRule="auto"/>
              <w:ind w:left="0"/>
              <w:jc w:val="both"/>
              <w:rPr>
                <w:rFonts w:ascii="Arial" w:hAnsi="Arial" w:cs="Arial"/>
                <w:i/>
                <w:iCs/>
              </w:rPr>
            </w:pPr>
          </w:p>
          <w:p w14:paraId="578894DC" w14:textId="7E5F7395" w:rsidR="00394868" w:rsidRPr="00241BB8" w:rsidRDefault="005D7A0D" w:rsidP="0070210C">
            <w:pPr>
              <w:pStyle w:val="Listavistosa-nfasis11"/>
              <w:spacing w:after="0" w:line="240" w:lineRule="auto"/>
              <w:ind w:left="0"/>
              <w:jc w:val="both"/>
              <w:rPr>
                <w:rFonts w:ascii="Arial" w:hAnsi="Arial" w:cs="Arial"/>
              </w:rPr>
            </w:pPr>
            <w:r w:rsidRPr="00241BB8">
              <w:rPr>
                <w:rFonts w:ascii="Arial" w:hAnsi="Arial" w:cs="Arial"/>
              </w:rPr>
              <w:t>En desarrollo de las funciones asignadas en la Ley 1341 de 2019</w:t>
            </w:r>
            <w:r w:rsidR="00B508C9" w:rsidRPr="00241BB8">
              <w:rPr>
                <w:rFonts w:ascii="Arial" w:hAnsi="Arial" w:cs="Arial"/>
              </w:rPr>
              <w:t xml:space="preserve"> el MinTIC expidió la Resolución 3556 de 2024, por la cual se establec</w:t>
            </w:r>
            <w:r w:rsidRPr="00241BB8">
              <w:rPr>
                <w:rFonts w:ascii="Arial" w:hAnsi="Arial" w:cs="Arial"/>
              </w:rPr>
              <w:t>e</w:t>
            </w:r>
            <w:r w:rsidR="00B508C9" w:rsidRPr="00241BB8">
              <w:rPr>
                <w:rFonts w:ascii="Arial" w:hAnsi="Arial" w:cs="Arial"/>
              </w:rPr>
              <w:t>n las reglas para la asignación y ejecución de los recursos a los que se refiere</w:t>
            </w:r>
            <w:r w:rsidRPr="00241BB8">
              <w:rPr>
                <w:rFonts w:ascii="Arial" w:hAnsi="Arial" w:cs="Arial"/>
              </w:rPr>
              <w:t xml:space="preserve">n </w:t>
            </w:r>
            <w:r w:rsidR="00B508C9" w:rsidRPr="00241BB8">
              <w:rPr>
                <w:rFonts w:ascii="Arial" w:hAnsi="Arial" w:cs="Arial"/>
              </w:rPr>
              <w:t xml:space="preserve">los numerales 3, 4, 9, 10, 16, </w:t>
            </w:r>
            <w:r w:rsidRPr="00241BB8">
              <w:rPr>
                <w:rFonts w:ascii="Arial" w:hAnsi="Arial" w:cs="Arial"/>
              </w:rPr>
              <w:t xml:space="preserve">17, </w:t>
            </w:r>
            <w:r w:rsidR="00B508C9" w:rsidRPr="00241BB8">
              <w:rPr>
                <w:rFonts w:ascii="Arial" w:hAnsi="Arial" w:cs="Arial"/>
              </w:rPr>
              <w:t>18, 19 y 21 del artículo 35 de la Ley 1341 de 2009 y el artículo 45 de la Ley 1978 de 2019.</w:t>
            </w:r>
          </w:p>
          <w:p w14:paraId="42F64FC8" w14:textId="77777777" w:rsidR="00394868" w:rsidRPr="00241BB8" w:rsidRDefault="00394868" w:rsidP="0070210C">
            <w:pPr>
              <w:pStyle w:val="Listavistosa-nfasis11"/>
              <w:spacing w:after="0" w:line="240" w:lineRule="auto"/>
              <w:ind w:left="0"/>
              <w:jc w:val="both"/>
              <w:rPr>
                <w:rFonts w:ascii="Arial" w:hAnsi="Arial" w:cs="Arial"/>
              </w:rPr>
            </w:pPr>
          </w:p>
          <w:p w14:paraId="2FCB328C" w14:textId="77777777" w:rsidR="00241BB8" w:rsidRDefault="005D7A0D" w:rsidP="0070210C">
            <w:pPr>
              <w:pStyle w:val="Listavistosa-nfasis11"/>
              <w:spacing w:after="0" w:line="240" w:lineRule="auto"/>
              <w:ind w:left="0"/>
              <w:jc w:val="both"/>
              <w:rPr>
                <w:rFonts w:ascii="Arial" w:hAnsi="Arial" w:cs="Arial"/>
                <w:b/>
                <w:bCs/>
                <w:i/>
                <w:iCs/>
                <w:color w:val="000000" w:themeColor="text1"/>
                <w:spacing w:val="2"/>
                <w:shd w:val="clear" w:color="auto" w:fill="FFFFFF"/>
              </w:rPr>
            </w:pPr>
            <w:r w:rsidRPr="00241BB8">
              <w:rPr>
                <w:rFonts w:ascii="Arial" w:hAnsi="Arial" w:cs="Arial"/>
              </w:rPr>
              <w:t xml:space="preserve">El artículo 12 de la norma mencionada anteriormente establece se establece </w:t>
            </w:r>
            <w:r w:rsidRPr="00241BB8">
              <w:rPr>
                <w:rFonts w:ascii="Arial" w:hAnsi="Arial" w:cs="Arial"/>
                <w:color w:val="000000" w:themeColor="text1"/>
                <w:spacing w:val="2"/>
                <w:shd w:val="clear" w:color="auto" w:fill="FFFFFF"/>
              </w:rPr>
              <w:t xml:space="preserve">La distribución de los recursos entre los operadores públicos regionales del servicio público de televisión para la financiación de los planes de inversión, estableciéndose en su literal </w:t>
            </w:r>
            <w:r w:rsidRPr="00241BB8">
              <w:rPr>
                <w:rFonts w:ascii="Arial" w:hAnsi="Arial" w:cs="Arial"/>
                <w:i/>
                <w:iCs/>
                <w:color w:val="000000" w:themeColor="text1"/>
                <w:spacing w:val="2"/>
                <w:shd w:val="clear" w:color="auto" w:fill="FFFFFF"/>
              </w:rPr>
              <w:t>“c)</w:t>
            </w:r>
            <w:r w:rsidRPr="00241BB8">
              <w:rPr>
                <w:rFonts w:ascii="Arial" w:hAnsi="Arial" w:cs="Arial"/>
                <w:color w:val="000000" w:themeColor="text1"/>
                <w:spacing w:val="2"/>
                <w:shd w:val="clear" w:color="auto" w:fill="FFFFFF"/>
              </w:rPr>
              <w:t xml:space="preserve"> </w:t>
            </w:r>
            <w:r w:rsidRPr="005D7A0D">
              <w:rPr>
                <w:rFonts w:ascii="Arial" w:hAnsi="Arial" w:cs="Arial"/>
                <w:i/>
                <w:iCs/>
                <w:color w:val="000000" w:themeColor="text1"/>
                <w:spacing w:val="2"/>
                <w:shd w:val="clear" w:color="auto" w:fill="FFFFFF"/>
              </w:rPr>
              <w:t>Componente Fijo: El Ministerio de Tecnologías de la Información y las Comunicaciones</w:t>
            </w:r>
            <w:r w:rsidRPr="00241BB8">
              <w:rPr>
                <w:rFonts w:ascii="Arial" w:hAnsi="Arial" w:cs="Arial"/>
                <w:i/>
                <w:iCs/>
                <w:color w:val="000000" w:themeColor="text1"/>
                <w:spacing w:val="2"/>
                <w:shd w:val="clear" w:color="auto" w:fill="FFFFFF"/>
              </w:rPr>
              <w:t xml:space="preserve"> </w:t>
            </w:r>
            <w:r w:rsidRPr="005D7A0D">
              <w:rPr>
                <w:rFonts w:ascii="Arial" w:hAnsi="Arial" w:cs="Arial"/>
                <w:i/>
                <w:iCs/>
                <w:color w:val="000000" w:themeColor="text1"/>
                <w:spacing w:val="2"/>
                <w:shd w:val="clear" w:color="auto" w:fill="FFFFFF"/>
              </w:rPr>
              <w:t>establecerá un componente fijo del monto total destinado a los operadores públicos regionales, que será distribuido en partes iguales entre estos operadores, para garantizar que la televisión pública tenga un mínimo de recursos asignados.</w:t>
            </w:r>
            <w:r w:rsidRPr="00241BB8">
              <w:rPr>
                <w:rFonts w:ascii="Arial" w:hAnsi="Arial" w:cs="Arial"/>
                <w:i/>
                <w:iCs/>
                <w:color w:val="000000" w:themeColor="text1"/>
                <w:spacing w:val="2"/>
                <w:shd w:val="clear" w:color="auto" w:fill="FFFFFF"/>
              </w:rPr>
              <w:t xml:space="preserve"> </w:t>
            </w:r>
            <w:r w:rsidRPr="005D7A0D">
              <w:rPr>
                <w:rFonts w:ascii="Arial" w:hAnsi="Arial" w:cs="Arial"/>
                <w:b/>
                <w:bCs/>
                <w:i/>
                <w:iCs/>
                <w:color w:val="000000" w:themeColor="text1"/>
                <w:spacing w:val="2"/>
                <w:shd w:val="clear" w:color="auto" w:fill="FFFFFF"/>
              </w:rPr>
              <w:t>Cuando el operador público regional del servicio público de televisión no ejecute la totalidad de los recursos en la vigencia anterior de acuerdo con lo establecido en el literal y) del artículo </w:t>
            </w:r>
            <w:hyperlink r:id="rId11" w:anchor="3" w:history="1">
              <w:r w:rsidRPr="005D7A0D">
                <w:rPr>
                  <w:rFonts w:ascii="Arial" w:hAnsi="Arial" w:cs="Arial"/>
                  <w:b/>
                  <w:bCs/>
                  <w:i/>
                  <w:iCs/>
                  <w:color w:val="000000" w:themeColor="text1"/>
                  <w:spacing w:val="2"/>
                  <w:shd w:val="clear" w:color="auto" w:fill="FFFFFF"/>
                </w:rPr>
                <w:t>3o</w:t>
              </w:r>
            </w:hyperlink>
            <w:r w:rsidRPr="005D7A0D">
              <w:rPr>
                <w:rFonts w:ascii="Arial" w:hAnsi="Arial" w:cs="Arial"/>
                <w:b/>
                <w:bCs/>
                <w:i/>
                <w:iCs/>
                <w:color w:val="000000" w:themeColor="text1"/>
                <w:spacing w:val="2"/>
                <w:shd w:val="clear" w:color="auto" w:fill="FFFFFF"/>
              </w:rPr>
              <w:t>, artículo </w:t>
            </w:r>
            <w:hyperlink r:id="rId12" w:anchor="22" w:history="1">
              <w:r w:rsidRPr="005D7A0D">
                <w:rPr>
                  <w:rFonts w:ascii="Arial" w:hAnsi="Arial" w:cs="Arial"/>
                  <w:b/>
                  <w:bCs/>
                  <w:i/>
                  <w:iCs/>
                  <w:color w:val="000000" w:themeColor="text1"/>
                  <w:spacing w:val="2"/>
                  <w:shd w:val="clear" w:color="auto" w:fill="FFFFFF"/>
                </w:rPr>
                <w:t>22</w:t>
              </w:r>
            </w:hyperlink>
            <w:r w:rsidRPr="005D7A0D">
              <w:rPr>
                <w:rFonts w:ascii="Arial" w:hAnsi="Arial" w:cs="Arial"/>
                <w:b/>
                <w:bCs/>
                <w:i/>
                <w:iCs/>
                <w:color w:val="000000" w:themeColor="text1"/>
                <w:spacing w:val="2"/>
                <w:shd w:val="clear" w:color="auto" w:fill="FFFFFF"/>
              </w:rPr>
              <w:t> y artículo </w:t>
            </w:r>
            <w:hyperlink r:id="rId13" w:anchor="38" w:history="1">
              <w:r w:rsidRPr="005D7A0D">
                <w:rPr>
                  <w:rFonts w:ascii="Arial" w:hAnsi="Arial" w:cs="Arial"/>
                  <w:b/>
                  <w:bCs/>
                  <w:i/>
                  <w:iCs/>
                  <w:color w:val="000000" w:themeColor="text1"/>
                  <w:spacing w:val="2"/>
                  <w:shd w:val="clear" w:color="auto" w:fill="FFFFFF"/>
                </w:rPr>
                <w:t>38</w:t>
              </w:r>
            </w:hyperlink>
            <w:r w:rsidRPr="005D7A0D">
              <w:rPr>
                <w:rFonts w:ascii="Arial" w:hAnsi="Arial" w:cs="Arial"/>
                <w:b/>
                <w:bCs/>
                <w:i/>
                <w:iCs/>
                <w:color w:val="000000" w:themeColor="text1"/>
                <w:spacing w:val="2"/>
                <w:shd w:val="clear" w:color="auto" w:fill="FFFFFF"/>
              </w:rPr>
              <w:t xml:space="preserve"> de la presente resolución, estos dos últimos específicamente al plazo de ejecución, este componente se </w:t>
            </w:r>
            <w:r w:rsidRPr="005D7A0D">
              <w:rPr>
                <w:rFonts w:ascii="Arial" w:hAnsi="Arial" w:cs="Arial"/>
                <w:b/>
                <w:bCs/>
                <w:i/>
                <w:iCs/>
                <w:color w:val="000000" w:themeColor="text1"/>
                <w:spacing w:val="2"/>
                <w:shd w:val="clear" w:color="auto" w:fill="FFFFFF"/>
              </w:rPr>
              <w:lastRenderedPageBreak/>
              <w:t>verá afectado con la disminución de un cinco por ciento (5%) en la asignación de esta variable para la vigencia siguiente. Este porcentaje reducido será redistribuido en partes iguales para el resto de los operadores públicos regionales del servicio público de televisión que han cumplido con la ejecución total de los recursos.</w:t>
            </w:r>
            <w:r w:rsidRPr="00241BB8">
              <w:rPr>
                <w:rFonts w:ascii="Arial" w:hAnsi="Arial" w:cs="Arial"/>
                <w:b/>
                <w:bCs/>
                <w:i/>
                <w:iCs/>
                <w:color w:val="000000" w:themeColor="text1"/>
                <w:spacing w:val="2"/>
                <w:shd w:val="clear" w:color="auto" w:fill="FFFFFF"/>
              </w:rPr>
              <w:t>” (negrillas fuera de texto)</w:t>
            </w:r>
          </w:p>
          <w:p w14:paraId="0F4D5161" w14:textId="77777777" w:rsidR="007F3DFB" w:rsidRDefault="007F3DFB" w:rsidP="0070210C">
            <w:pPr>
              <w:pStyle w:val="Listavistosa-nfasis11"/>
              <w:spacing w:after="0" w:line="240" w:lineRule="auto"/>
              <w:ind w:left="0"/>
              <w:jc w:val="both"/>
              <w:rPr>
                <w:rFonts w:ascii="Arial" w:hAnsi="Arial" w:cs="Arial"/>
                <w:b/>
                <w:bCs/>
                <w:i/>
                <w:iCs/>
                <w:color w:val="000000" w:themeColor="text1"/>
                <w:spacing w:val="2"/>
                <w:shd w:val="clear" w:color="auto" w:fill="FFFFFF"/>
              </w:rPr>
            </w:pPr>
          </w:p>
          <w:p w14:paraId="06B30071" w14:textId="35E59BC2" w:rsidR="007F3DFB" w:rsidRDefault="007F3DFB" w:rsidP="0070210C">
            <w:pPr>
              <w:pStyle w:val="Listavistosa-nfasis11"/>
              <w:spacing w:after="0" w:line="240" w:lineRule="auto"/>
              <w:ind w:left="0"/>
              <w:jc w:val="both"/>
              <w:rPr>
                <w:rFonts w:ascii="Arial" w:hAnsi="Arial" w:cs="Arial"/>
                <w:b/>
                <w:bCs/>
                <w:i/>
                <w:iCs/>
                <w:color w:val="000000" w:themeColor="text1"/>
                <w:spacing w:val="2"/>
                <w:shd w:val="clear" w:color="auto" w:fill="FFFFFF"/>
              </w:rPr>
            </w:pPr>
            <w:r w:rsidRPr="007F3DFB">
              <w:rPr>
                <w:rFonts w:ascii="Arial" w:hAnsi="Arial" w:cs="Arial"/>
                <w:color w:val="000000" w:themeColor="text1"/>
                <w:spacing w:val="2"/>
                <w:shd w:val="clear" w:color="auto" w:fill="FFFFFF"/>
              </w:rPr>
              <w:t xml:space="preserve">Por su parte el </w:t>
            </w:r>
            <w:r>
              <w:rPr>
                <w:rFonts w:ascii="Arial" w:hAnsi="Arial" w:cs="Arial"/>
                <w:color w:val="000000" w:themeColor="text1"/>
                <w:spacing w:val="2"/>
                <w:shd w:val="clear" w:color="auto" w:fill="FFFFFF"/>
              </w:rPr>
              <w:t xml:space="preserve">parágrafo del </w:t>
            </w:r>
            <w:r w:rsidRPr="007F3DFB">
              <w:rPr>
                <w:rFonts w:ascii="Arial" w:hAnsi="Arial" w:cs="Arial"/>
                <w:color w:val="000000" w:themeColor="text1"/>
                <w:spacing w:val="2"/>
                <w:shd w:val="clear" w:color="auto" w:fill="FFFFFF"/>
              </w:rPr>
              <w:t xml:space="preserve">articulo 32 de la misma norma establece, pare el operador público nacional </w:t>
            </w:r>
            <w:r>
              <w:rPr>
                <w:rFonts w:ascii="Arial" w:hAnsi="Arial" w:cs="Arial"/>
                <w:b/>
                <w:bCs/>
                <w:i/>
                <w:iCs/>
                <w:color w:val="000000" w:themeColor="text1"/>
                <w:spacing w:val="2"/>
                <w:shd w:val="clear" w:color="auto" w:fill="FFFFFF"/>
              </w:rPr>
              <w:t>“</w:t>
            </w:r>
            <w:r w:rsidRPr="007F3DFB">
              <w:rPr>
                <w:rFonts w:ascii="Arial" w:hAnsi="Arial" w:cs="Arial"/>
                <w:b/>
                <w:bCs/>
                <w:i/>
                <w:iCs/>
                <w:color w:val="000000" w:themeColor="text1"/>
                <w:spacing w:val="2"/>
                <w:shd w:val="clear" w:color="auto" w:fill="FFFFFF"/>
                <w:lang w:val="es-ES"/>
              </w:rPr>
              <w:t>Cuando el operador público nacional del servicio público de televisión no ejecute la totalidad de los recursos en la vigencia anterior, dentro del plazo de ejecución, de acuerdo con lo establecido en el literal y) del artículo 3o y el artículo 38 de la presente resolución, los recursos a asignar al operador para la vigencia siguiente se disminuirán en el monto no ejecutado, traído a valor presente</w:t>
            </w:r>
            <w:r>
              <w:rPr>
                <w:rFonts w:ascii="Arial" w:hAnsi="Arial" w:cs="Arial"/>
                <w:b/>
                <w:bCs/>
                <w:i/>
                <w:iCs/>
                <w:color w:val="000000" w:themeColor="text1"/>
                <w:spacing w:val="2"/>
                <w:shd w:val="clear" w:color="auto" w:fill="FFFFFF"/>
                <w:lang w:val="es-ES"/>
              </w:rPr>
              <w:t>”</w:t>
            </w:r>
          </w:p>
          <w:p w14:paraId="52080599" w14:textId="77777777" w:rsidR="00241BB8" w:rsidRDefault="00241BB8" w:rsidP="0070210C">
            <w:pPr>
              <w:pStyle w:val="Listavistosa-nfasis11"/>
              <w:spacing w:after="0" w:line="240" w:lineRule="auto"/>
              <w:ind w:left="0"/>
              <w:jc w:val="both"/>
              <w:rPr>
                <w:rFonts w:ascii="Arial" w:hAnsi="Arial" w:cs="Arial"/>
                <w:b/>
                <w:bCs/>
                <w:i/>
                <w:iCs/>
                <w:color w:val="000000" w:themeColor="text1"/>
                <w:spacing w:val="2"/>
                <w:shd w:val="clear" w:color="auto" w:fill="FFFFFF"/>
              </w:rPr>
            </w:pPr>
          </w:p>
          <w:p w14:paraId="522AE647" w14:textId="7A3C5F07" w:rsidR="00981F7B" w:rsidRDefault="00981F7B" w:rsidP="00981F7B">
            <w:pPr>
              <w:jc w:val="both"/>
              <w:rPr>
                <w:rFonts w:cs="Arial"/>
                <w:sz w:val="22"/>
                <w:szCs w:val="22"/>
                <w:lang w:val="es-CO"/>
              </w:rPr>
            </w:pPr>
            <w:r>
              <w:rPr>
                <w:rFonts w:cs="Arial"/>
                <w:sz w:val="22"/>
                <w:szCs w:val="22"/>
                <w:lang w:val="es-CO"/>
              </w:rPr>
              <w:t>Las normas transcritas anteriormente, si buen no establecen una sanción sobre los operadores públicos del servicio de televisión, si establecen un criterio que puede ser utilizado por el Ministerio de Tecnologías de la Información y las Comunicaciones con el fin lograr una ejecución eficiente de los recursos del Fondo Único de las TIC. Teniendo en cuenta que las finalidades y objetivos del servicio público de televisión y de los recursos transferidos a los Canales públicos, es por lo tanto necesario revisar la redacción de los parágrafos, en el sentido de establecer que dicha reducción se aplicara de manera discrecional por parte del MinTIC en consideración a las circunstancias que hayan ocasionado la inejecución de los recursos.</w:t>
            </w:r>
          </w:p>
          <w:p w14:paraId="3C0DD11D" w14:textId="77777777" w:rsidR="00981F7B" w:rsidRDefault="00981F7B" w:rsidP="00981F7B">
            <w:pPr>
              <w:jc w:val="both"/>
              <w:rPr>
                <w:rFonts w:cs="Arial"/>
                <w:sz w:val="22"/>
                <w:szCs w:val="22"/>
                <w:lang w:val="es-CO"/>
              </w:rPr>
            </w:pPr>
          </w:p>
          <w:p w14:paraId="16C3C88C" w14:textId="17CF841F" w:rsidR="007F3DFB" w:rsidRPr="00981F7B" w:rsidRDefault="00981F7B" w:rsidP="0070210C">
            <w:pPr>
              <w:jc w:val="both"/>
              <w:rPr>
                <w:sz w:val="22"/>
                <w:szCs w:val="22"/>
              </w:rPr>
            </w:pPr>
            <w:r>
              <w:rPr>
                <w:rFonts w:cs="Arial"/>
                <w:sz w:val="22"/>
                <w:szCs w:val="22"/>
              </w:rPr>
              <w:t>De igual forma, la modificación permitirá aplicar la norma de manera que no afecte directamente el</w:t>
            </w:r>
            <w:r>
              <w:rPr>
                <w:sz w:val="22"/>
                <w:szCs w:val="22"/>
              </w:rPr>
              <w:t xml:space="preserve"> </w:t>
            </w:r>
            <w:r w:rsidR="007F3DFB" w:rsidRPr="007F3DFB">
              <w:rPr>
                <w:sz w:val="22"/>
                <w:szCs w:val="22"/>
              </w:rPr>
              <w:t>funcionamiento y la sostenibilidad financiera de los operadores públicos regionales del servicio público de televisión, que deben garantizar la continuidad de sus operaciones y la producción de contenidos de interés público en cada nueva vigencia. Es importante considerar que los operadores enfrentan incrementos en sus costos operativos, gastos de mantenimiento y compromisos laborales y contractuales que se actualizan año a año, por lo que una disminución del 5% en su asignación presupuestal comprometería su capacidad de operación, su estabilidad institucional y el cumplimiento de los objetivos establecidos para el servicio público de televisión.​</w:t>
            </w:r>
          </w:p>
          <w:p w14:paraId="50AACBE8" w14:textId="77777777" w:rsidR="007F3DFB" w:rsidRDefault="007F3DFB" w:rsidP="0070210C">
            <w:pPr>
              <w:jc w:val="both"/>
              <w:rPr>
                <w:rFonts w:cs="Arial"/>
                <w:sz w:val="22"/>
                <w:szCs w:val="22"/>
              </w:rPr>
            </w:pPr>
          </w:p>
          <w:p w14:paraId="5A1D4B16" w14:textId="667C461D" w:rsidR="00934FED" w:rsidRPr="00241BB8" w:rsidRDefault="00934FED" w:rsidP="0070210C">
            <w:pPr>
              <w:jc w:val="both"/>
              <w:rPr>
                <w:rFonts w:cs="Arial"/>
                <w:sz w:val="22"/>
                <w:szCs w:val="22"/>
              </w:rPr>
            </w:pPr>
            <w:r w:rsidRPr="00241BB8">
              <w:rPr>
                <w:rFonts w:cs="Arial"/>
                <w:sz w:val="22"/>
                <w:szCs w:val="22"/>
              </w:rPr>
              <w:t xml:space="preserve">Por esta razón es necesario modificar </w:t>
            </w:r>
            <w:r w:rsidR="0070210C">
              <w:rPr>
                <w:rFonts w:cs="Arial"/>
                <w:sz w:val="22"/>
                <w:szCs w:val="22"/>
              </w:rPr>
              <w:t xml:space="preserve">tanto el </w:t>
            </w:r>
            <w:r w:rsidRPr="00241BB8">
              <w:rPr>
                <w:rFonts w:cs="Arial"/>
                <w:sz w:val="22"/>
                <w:szCs w:val="22"/>
              </w:rPr>
              <w:t>literal c) del articulo 12</w:t>
            </w:r>
            <w:r w:rsidR="007F3DFB">
              <w:rPr>
                <w:rFonts w:cs="Arial"/>
                <w:sz w:val="22"/>
                <w:szCs w:val="22"/>
              </w:rPr>
              <w:t xml:space="preserve">, así como </w:t>
            </w:r>
            <w:r w:rsidR="00981F7B">
              <w:rPr>
                <w:rFonts w:cs="Arial"/>
                <w:sz w:val="22"/>
                <w:szCs w:val="22"/>
              </w:rPr>
              <w:t xml:space="preserve">el parágrafo del </w:t>
            </w:r>
            <w:r w:rsidR="0070210C">
              <w:rPr>
                <w:rFonts w:cs="Arial"/>
                <w:sz w:val="22"/>
                <w:szCs w:val="22"/>
              </w:rPr>
              <w:t>articulo 32 de la Resolución 3556 de 2024</w:t>
            </w:r>
            <w:r w:rsidR="00981F7B">
              <w:rPr>
                <w:rFonts w:cs="Arial"/>
                <w:sz w:val="22"/>
                <w:szCs w:val="22"/>
              </w:rPr>
              <w:t>.</w:t>
            </w:r>
          </w:p>
          <w:p w14:paraId="26D11C38" w14:textId="77777777" w:rsidR="00934FED" w:rsidRPr="00934FED" w:rsidRDefault="00934FED" w:rsidP="0070210C">
            <w:pPr>
              <w:jc w:val="both"/>
              <w:rPr>
                <w:rFonts w:cs="Arial"/>
                <w:sz w:val="22"/>
                <w:szCs w:val="22"/>
              </w:rPr>
            </w:pPr>
          </w:p>
          <w:p w14:paraId="1209B8E8" w14:textId="68CD3FBB" w:rsidR="00934FED" w:rsidRDefault="007F3DFB" w:rsidP="0070210C">
            <w:pPr>
              <w:pStyle w:val="Listavistosa-nfasis11"/>
              <w:spacing w:after="0" w:line="240" w:lineRule="auto"/>
              <w:ind w:left="0"/>
              <w:jc w:val="both"/>
              <w:rPr>
                <w:rFonts w:ascii="Arial" w:hAnsi="Arial" w:cs="Arial"/>
                <w:i/>
                <w:iCs/>
              </w:rPr>
            </w:pPr>
            <w:r>
              <w:rPr>
                <w:rFonts w:ascii="Arial" w:hAnsi="Arial" w:cs="Arial"/>
                <w:lang w:val="es-ES"/>
              </w:rPr>
              <w:t xml:space="preserve">Por su parte el </w:t>
            </w:r>
            <w:r w:rsidR="00241BB8" w:rsidRPr="00241BB8">
              <w:rPr>
                <w:rFonts w:ascii="Arial" w:hAnsi="Arial" w:cs="Arial"/>
              </w:rPr>
              <w:t xml:space="preserve">parágrafo del artículo 29 de la Resolución 3556 de 2024 establece </w:t>
            </w:r>
            <w:proofErr w:type="gramStart"/>
            <w:r w:rsidR="00241BB8" w:rsidRPr="00241BB8">
              <w:rPr>
                <w:rFonts w:ascii="Arial" w:hAnsi="Arial" w:cs="Arial"/>
              </w:rPr>
              <w:t xml:space="preserve">que  </w:t>
            </w:r>
            <w:r w:rsidR="00241BB8" w:rsidRPr="00241BB8">
              <w:rPr>
                <w:rFonts w:ascii="Arial" w:hAnsi="Arial" w:cs="Arial"/>
                <w:i/>
                <w:iCs/>
              </w:rPr>
              <w:t>“</w:t>
            </w:r>
            <w:proofErr w:type="gramEnd"/>
            <w:r w:rsidR="00241BB8" w:rsidRPr="00241BB8">
              <w:rPr>
                <w:rFonts w:ascii="Arial" w:hAnsi="Arial" w:cs="Arial"/>
                <w:i/>
                <w:iCs/>
              </w:rPr>
              <w:t xml:space="preserve">La financiación de los planes, programas y proyectos podrá realizarse durante el transcurso de cada vigencia fiscal, siempre que los recursos </w:t>
            </w:r>
            <w:r w:rsidR="00241BB8" w:rsidRPr="00241BB8">
              <w:rPr>
                <w:rFonts w:ascii="Arial" w:hAnsi="Arial" w:cs="Arial"/>
                <w:b/>
                <w:bCs/>
                <w:i/>
                <w:iCs/>
              </w:rPr>
              <w:t>se comprometan máximo hasta el último día hábil del mes de noviembre de cada vigencia</w:t>
            </w:r>
            <w:r w:rsidR="00241BB8" w:rsidRPr="00241BB8">
              <w:rPr>
                <w:rFonts w:ascii="Arial" w:hAnsi="Arial" w:cs="Arial"/>
                <w:i/>
                <w:iCs/>
              </w:rPr>
              <w:t>. El plazo de ejecución y legalización de los recursos será hasta el último día hábil del mes de diciembre de la vigencia fiscal”</w:t>
            </w:r>
            <w:r w:rsidR="00241BB8">
              <w:rPr>
                <w:rFonts w:ascii="Arial" w:hAnsi="Arial" w:cs="Arial"/>
                <w:i/>
                <w:iCs/>
              </w:rPr>
              <w:t xml:space="preserve"> (negrillas fuera de texto).</w:t>
            </w:r>
          </w:p>
          <w:p w14:paraId="6BBFD8B8" w14:textId="77777777" w:rsidR="00241BB8" w:rsidRDefault="00241BB8" w:rsidP="0070210C">
            <w:pPr>
              <w:pStyle w:val="Listavistosa-nfasis11"/>
              <w:spacing w:after="0" w:line="240" w:lineRule="auto"/>
              <w:ind w:left="0"/>
              <w:jc w:val="both"/>
              <w:rPr>
                <w:rFonts w:ascii="Arial" w:hAnsi="Arial" w:cs="Arial"/>
                <w:i/>
                <w:iCs/>
              </w:rPr>
            </w:pPr>
          </w:p>
          <w:p w14:paraId="58C995AE" w14:textId="77777777" w:rsidR="00307345" w:rsidRDefault="00241BB8" w:rsidP="0070210C">
            <w:pPr>
              <w:pStyle w:val="Listavistosa-nfasis11"/>
              <w:spacing w:after="0" w:line="240" w:lineRule="auto"/>
              <w:ind w:left="0"/>
              <w:jc w:val="both"/>
              <w:rPr>
                <w:rFonts w:ascii="Arial" w:hAnsi="Arial" w:cs="Arial"/>
                <w:lang w:val="es-ES" w:eastAsia="es-ES"/>
              </w:rPr>
            </w:pPr>
            <w:r w:rsidRPr="00307345">
              <w:rPr>
                <w:rFonts w:ascii="Arial" w:hAnsi="Arial" w:cs="Arial"/>
                <w:lang w:val="es-ES" w:eastAsia="es-ES"/>
              </w:rPr>
              <w:t xml:space="preserve">Teniendo en cuenta el plazo establecido anteriormente, es necesario traer a </w:t>
            </w:r>
            <w:r w:rsidR="00307345" w:rsidRPr="00307345">
              <w:rPr>
                <w:rFonts w:ascii="Arial" w:hAnsi="Arial" w:cs="Arial"/>
                <w:lang w:val="es-ES" w:eastAsia="es-ES"/>
              </w:rPr>
              <w:t>colación</w:t>
            </w:r>
            <w:r w:rsidRPr="00307345">
              <w:rPr>
                <w:rFonts w:ascii="Arial" w:hAnsi="Arial" w:cs="Arial"/>
                <w:lang w:val="es-ES" w:eastAsia="es-ES"/>
              </w:rPr>
              <w:t xml:space="preserve"> lo </w:t>
            </w:r>
            <w:r w:rsidR="00307345" w:rsidRPr="00307345">
              <w:rPr>
                <w:rFonts w:ascii="Arial" w:hAnsi="Arial" w:cs="Arial"/>
                <w:lang w:val="es-ES" w:eastAsia="es-ES"/>
              </w:rPr>
              <w:t>establecido</w:t>
            </w:r>
            <w:r w:rsidRPr="00307345">
              <w:rPr>
                <w:rFonts w:ascii="Arial" w:hAnsi="Arial" w:cs="Arial"/>
                <w:lang w:val="es-ES" w:eastAsia="es-ES"/>
              </w:rPr>
              <w:t xml:space="preserve"> en el </w:t>
            </w:r>
            <w:r w:rsidR="00307345" w:rsidRPr="00307345">
              <w:rPr>
                <w:rFonts w:ascii="Arial" w:hAnsi="Arial" w:cs="Arial"/>
                <w:lang w:val="es-ES" w:eastAsia="es-ES"/>
              </w:rPr>
              <w:t>artículo</w:t>
            </w:r>
            <w:r w:rsidRPr="00307345">
              <w:rPr>
                <w:rFonts w:ascii="Arial" w:hAnsi="Arial" w:cs="Arial"/>
                <w:lang w:val="es-ES" w:eastAsia="es-ES"/>
              </w:rPr>
              <w:t xml:space="preserve"> 14 del Decreto-Ley 111 de 1996, “Estatuto </w:t>
            </w:r>
            <w:r w:rsidR="00307345" w:rsidRPr="00307345">
              <w:rPr>
                <w:rFonts w:ascii="Arial" w:hAnsi="Arial" w:cs="Arial"/>
                <w:lang w:val="es-ES" w:eastAsia="es-ES"/>
              </w:rPr>
              <w:t>Orgánico</w:t>
            </w:r>
            <w:r w:rsidRPr="00307345">
              <w:rPr>
                <w:rFonts w:ascii="Arial" w:hAnsi="Arial" w:cs="Arial"/>
                <w:lang w:val="es-ES" w:eastAsia="es-ES"/>
              </w:rPr>
              <w:t xml:space="preserve"> de Presupuesto”</w:t>
            </w:r>
            <w:r w:rsidR="00307345" w:rsidRPr="00307345">
              <w:rPr>
                <w:rFonts w:ascii="Arial" w:hAnsi="Arial" w:cs="Arial"/>
                <w:lang w:val="es-ES" w:eastAsia="es-ES"/>
              </w:rPr>
              <w:t xml:space="preserve"> dispone que </w:t>
            </w:r>
            <w:r w:rsidR="00307345" w:rsidRPr="00307345">
              <w:rPr>
                <w:rFonts w:ascii="Arial" w:hAnsi="Arial" w:cs="Arial"/>
                <w:i/>
                <w:iCs/>
                <w:lang w:val="es-ES" w:eastAsia="es-ES"/>
              </w:rPr>
              <w:t>“El año fiscal comienza el 1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307345" w:rsidRPr="00307345">
              <w:rPr>
                <w:rFonts w:ascii="Arial" w:hAnsi="Arial" w:cs="Arial"/>
                <w:lang w:val="es-ES" w:eastAsia="es-ES"/>
              </w:rPr>
              <w:t xml:space="preserve"> </w:t>
            </w:r>
            <w:r w:rsidRPr="00307345">
              <w:rPr>
                <w:rFonts w:ascii="Arial" w:hAnsi="Arial" w:cs="Arial"/>
                <w:lang w:val="es-ES" w:eastAsia="es-ES"/>
              </w:rPr>
              <w:t>Esto significa que tanto los ingresos como los gastos deben programarse, comprometerse y ejecutarse dentro de ese mismo período, garantizando así control, planeación y transparencia en la gestión de los recursos públicos. Dicho principio busca que cada gobierno y cada entidad ejecuten los recursos dentro de un marco temporal definido, evitando comprometer vigencias futuras sin la debida autorización legal.</w:t>
            </w:r>
          </w:p>
          <w:p w14:paraId="761A7E33" w14:textId="77777777" w:rsidR="00307345" w:rsidRDefault="00307345" w:rsidP="0070210C">
            <w:pPr>
              <w:pStyle w:val="Listavistosa-nfasis11"/>
              <w:spacing w:after="0" w:line="240" w:lineRule="auto"/>
              <w:ind w:left="0"/>
              <w:jc w:val="both"/>
              <w:rPr>
                <w:rFonts w:ascii="Arial" w:hAnsi="Arial" w:cs="Arial"/>
                <w:lang w:val="es-ES" w:eastAsia="es-ES"/>
              </w:rPr>
            </w:pPr>
          </w:p>
          <w:p w14:paraId="571ECE02" w14:textId="2146A371" w:rsidR="0070210C" w:rsidRPr="0070210C" w:rsidRDefault="0070210C" w:rsidP="0070210C">
            <w:pPr>
              <w:pStyle w:val="Listavistosa-nfasis11"/>
              <w:spacing w:after="0" w:line="240" w:lineRule="auto"/>
              <w:ind w:left="0"/>
              <w:jc w:val="both"/>
              <w:rPr>
                <w:rFonts w:ascii="Arial" w:hAnsi="Arial" w:cs="Arial"/>
                <w:lang w:val="es-ES" w:eastAsia="es-ES"/>
              </w:rPr>
            </w:pPr>
            <w:r w:rsidRPr="0070210C">
              <w:rPr>
                <w:rFonts w:ascii="Arial" w:hAnsi="Arial" w:cs="Arial"/>
                <w:lang w:val="es-ES" w:eastAsia="es-ES"/>
              </w:rPr>
              <w:lastRenderedPageBreak/>
              <w:t>Al fijar plazos adicionales más restrictivos que los previstos en la norma orgánica, el artículo 29</w:t>
            </w:r>
            <w:r w:rsidR="008E2BD1">
              <w:rPr>
                <w:rFonts w:ascii="Arial" w:hAnsi="Arial" w:cs="Arial"/>
                <w:lang w:val="es-ES" w:eastAsia="es-ES"/>
              </w:rPr>
              <w:t xml:space="preserve"> de la Resolución 3556 de 2024</w:t>
            </w:r>
            <w:r w:rsidRPr="0070210C">
              <w:rPr>
                <w:rFonts w:ascii="Arial" w:hAnsi="Arial" w:cs="Arial"/>
                <w:lang w:val="es-ES" w:eastAsia="es-ES"/>
              </w:rPr>
              <w:t xml:space="preserve"> genera un marco de rigidez innecesaria que puede obstaculizar la correcta utilización de los recursos públicos, dada la naturaleza dinámica y operativa de los canales públicos de televisión. En este sentido, se considera necesario ajustar el plazo</w:t>
            </w:r>
            <w:r w:rsidR="007F3DFB">
              <w:rPr>
                <w:rFonts w:ascii="Arial" w:hAnsi="Arial" w:cs="Arial"/>
                <w:lang w:val="es-ES" w:eastAsia="es-ES"/>
              </w:rPr>
              <w:t>, estableciendo como fecha límite para el compromiso de los recursos el</w:t>
            </w:r>
            <w:r w:rsidRPr="0070210C">
              <w:rPr>
                <w:rFonts w:ascii="Arial" w:hAnsi="Arial" w:cs="Arial"/>
                <w:lang w:val="es-ES" w:eastAsia="es-ES"/>
              </w:rPr>
              <w:t xml:space="preserve"> quince (15) </w:t>
            </w:r>
            <w:r w:rsidR="007F3DFB">
              <w:rPr>
                <w:rFonts w:ascii="Arial" w:hAnsi="Arial" w:cs="Arial"/>
                <w:lang w:val="es-ES" w:eastAsia="es-ES"/>
              </w:rPr>
              <w:t>de diciembre</w:t>
            </w:r>
            <w:r w:rsidRPr="0070210C">
              <w:rPr>
                <w:rFonts w:ascii="Arial" w:hAnsi="Arial" w:cs="Arial"/>
                <w:lang w:val="es-ES" w:eastAsia="es-ES"/>
              </w:rPr>
              <w:t xml:space="preserve">, </w:t>
            </w:r>
            <w:r w:rsidR="007F3DFB">
              <w:rPr>
                <w:rFonts w:ascii="Arial" w:hAnsi="Arial" w:cs="Arial"/>
                <w:lang w:val="es-ES" w:eastAsia="es-ES"/>
              </w:rPr>
              <w:t xml:space="preserve">esto </w:t>
            </w:r>
            <w:r w:rsidRPr="0070210C">
              <w:rPr>
                <w:rFonts w:ascii="Arial" w:hAnsi="Arial" w:cs="Arial"/>
                <w:lang w:val="es-ES" w:eastAsia="es-ES"/>
              </w:rPr>
              <w:t>con el fin de otorgar una mayor flexibilidad en la ejecución de los recursos, permitiendo una gestión más acorde con la realidad operativa y administrativa de los operadores regionales</w:t>
            </w:r>
            <w:r w:rsidR="007F3DFB">
              <w:rPr>
                <w:rFonts w:ascii="Arial" w:hAnsi="Arial" w:cs="Arial"/>
                <w:lang w:val="es-ES" w:eastAsia="es-ES"/>
              </w:rPr>
              <w:t xml:space="preserve">. </w:t>
            </w:r>
          </w:p>
          <w:p w14:paraId="5C45F7B1" w14:textId="77777777" w:rsidR="0070210C" w:rsidRDefault="0070210C" w:rsidP="0070210C">
            <w:pPr>
              <w:pStyle w:val="Listavistosa-nfasis11"/>
              <w:spacing w:after="0" w:line="240" w:lineRule="auto"/>
              <w:ind w:left="0"/>
              <w:jc w:val="both"/>
              <w:rPr>
                <w:rFonts w:ascii="Arial" w:hAnsi="Arial" w:cs="Arial"/>
                <w:lang w:val="es-ES" w:eastAsia="es-ES"/>
              </w:rPr>
            </w:pPr>
          </w:p>
          <w:p w14:paraId="53D20BB3" w14:textId="239668FA" w:rsidR="0070210C" w:rsidRPr="0070210C" w:rsidRDefault="0070210C" w:rsidP="0070210C">
            <w:pPr>
              <w:pStyle w:val="Listavistosa-nfasis11"/>
              <w:spacing w:after="0" w:line="240" w:lineRule="auto"/>
              <w:ind w:left="0"/>
              <w:jc w:val="both"/>
              <w:rPr>
                <w:rFonts w:ascii="Arial" w:hAnsi="Arial" w:cs="Arial"/>
                <w:lang w:val="es-ES" w:eastAsia="es-ES"/>
              </w:rPr>
            </w:pPr>
            <w:r w:rsidRPr="0070210C">
              <w:rPr>
                <w:rFonts w:ascii="Arial" w:hAnsi="Arial" w:cs="Arial"/>
                <w:lang w:val="es-ES" w:eastAsia="es-ES"/>
              </w:rPr>
              <w:t>De igual forma, resulta pertinente excluir de dicha restricción los proyectos orientados a la adquisición de licencias de contenidos audiovisuales, por tratarse de procesos de inmediata ejecución que buscan fortalecer la oferta y la calidad de la programación de los canales regionales. Esta medida contribuirá a optimizar la planeación y ejecución de los recursos, garantizando un uso más eficiente y estratégico de los mismos, en consonancia con los fines del servicio público de televisión.</w:t>
            </w:r>
          </w:p>
          <w:p w14:paraId="4CD27D53" w14:textId="3FB67E79" w:rsidR="00241BB8" w:rsidRPr="0070210C" w:rsidRDefault="00241BB8" w:rsidP="0070210C">
            <w:pPr>
              <w:pStyle w:val="Listavistosa-nfasis11"/>
              <w:spacing w:after="0" w:line="240" w:lineRule="auto"/>
              <w:ind w:left="0"/>
              <w:jc w:val="both"/>
              <w:rPr>
                <w:rFonts w:ascii="Arial" w:hAnsi="Arial" w:cs="Arial"/>
                <w:lang w:eastAsia="es-ES"/>
              </w:rPr>
            </w:pPr>
          </w:p>
        </w:tc>
      </w:tr>
      <w:tr w:rsidR="00DF60FD" w:rsidRPr="00241BB8" w14:paraId="2C8A0E56" w14:textId="77777777" w:rsidTr="0075705D">
        <w:trPr>
          <w:trHeight w:val="47"/>
        </w:trPr>
        <w:tc>
          <w:tcPr>
            <w:tcW w:w="10774" w:type="dxa"/>
            <w:gridSpan w:val="3"/>
            <w:shd w:val="clear" w:color="auto" w:fill="FFFFFF"/>
            <w:vAlign w:val="center"/>
          </w:tcPr>
          <w:p w14:paraId="2EF9499E" w14:textId="77777777" w:rsidR="005D7A0D" w:rsidRPr="00241BB8" w:rsidRDefault="005D7A0D" w:rsidP="0070210C">
            <w:pPr>
              <w:jc w:val="both"/>
              <w:rPr>
                <w:rFonts w:cs="Arial"/>
                <w:sz w:val="22"/>
                <w:szCs w:val="22"/>
                <w:lang w:eastAsia="es-CO"/>
              </w:rPr>
            </w:pPr>
          </w:p>
        </w:tc>
      </w:tr>
      <w:tr w:rsidR="00DF60FD" w:rsidRPr="00241BB8"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4754CE36" w14:textId="77777777" w:rsidR="00DF60FD" w:rsidRPr="00241BB8" w:rsidRDefault="00DF60FD" w:rsidP="00241BB8">
            <w:pPr>
              <w:numPr>
                <w:ilvl w:val="0"/>
                <w:numId w:val="44"/>
              </w:numPr>
              <w:ind w:left="494"/>
              <w:rPr>
                <w:rFonts w:cs="Arial"/>
                <w:b/>
                <w:color w:val="000000"/>
                <w:sz w:val="22"/>
                <w:szCs w:val="22"/>
              </w:rPr>
            </w:pPr>
            <w:r w:rsidRPr="00241BB8">
              <w:rPr>
                <w:rFonts w:cs="Arial"/>
                <w:b/>
                <w:color w:val="000000"/>
                <w:sz w:val="22"/>
                <w:szCs w:val="22"/>
              </w:rPr>
              <w:t>AMBITO DE APLICACIÓN Y SUJETO</w:t>
            </w:r>
            <w:r w:rsidR="00795C6B" w:rsidRPr="00241BB8">
              <w:rPr>
                <w:rFonts w:cs="Arial"/>
                <w:b/>
                <w:color w:val="000000"/>
                <w:sz w:val="22"/>
                <w:szCs w:val="22"/>
              </w:rPr>
              <w:t>S</w:t>
            </w:r>
            <w:r w:rsidRPr="00241BB8">
              <w:rPr>
                <w:rFonts w:cs="Arial"/>
                <w:b/>
                <w:color w:val="000000"/>
                <w:sz w:val="22"/>
                <w:szCs w:val="22"/>
              </w:rPr>
              <w:t xml:space="preserve"> A QUIEN</w:t>
            </w:r>
            <w:r w:rsidR="00795C6B" w:rsidRPr="00241BB8">
              <w:rPr>
                <w:rFonts w:cs="Arial"/>
                <w:b/>
                <w:color w:val="000000"/>
                <w:sz w:val="22"/>
                <w:szCs w:val="22"/>
              </w:rPr>
              <w:t>ES</w:t>
            </w:r>
            <w:r w:rsidRPr="00241BB8">
              <w:rPr>
                <w:rFonts w:cs="Arial"/>
                <w:b/>
                <w:color w:val="000000"/>
                <w:sz w:val="22"/>
                <w:szCs w:val="22"/>
              </w:rPr>
              <w:t xml:space="preserve"> VA DIRIGIDO</w:t>
            </w:r>
          </w:p>
          <w:p w14:paraId="1B77C6B6" w14:textId="610EDF7C" w:rsidR="00795C6B" w:rsidRPr="00241BB8" w:rsidRDefault="00795C6B" w:rsidP="00241BB8">
            <w:pPr>
              <w:pStyle w:val="Listavistosa-nfasis11"/>
              <w:spacing w:after="0" w:line="240" w:lineRule="auto"/>
              <w:ind w:left="0"/>
              <w:jc w:val="both"/>
              <w:rPr>
                <w:rFonts w:ascii="Arial" w:hAnsi="Arial" w:cs="Arial"/>
                <w:i/>
                <w:color w:val="808080"/>
              </w:rPr>
            </w:pPr>
          </w:p>
          <w:p w14:paraId="1DAC85CD" w14:textId="2DF8DF39" w:rsidR="00CF0BE3" w:rsidRPr="00241BB8" w:rsidRDefault="00CF0BE3" w:rsidP="00241BB8">
            <w:pPr>
              <w:pStyle w:val="Listavistosa-nfasis11"/>
              <w:spacing w:after="0" w:line="240" w:lineRule="auto"/>
              <w:ind w:left="0"/>
              <w:jc w:val="both"/>
              <w:rPr>
                <w:rFonts w:ascii="Arial" w:hAnsi="Arial" w:cs="Arial"/>
              </w:rPr>
            </w:pPr>
            <w:r w:rsidRPr="00241BB8">
              <w:rPr>
                <w:rFonts w:ascii="Arial" w:hAnsi="Arial" w:cs="Arial"/>
              </w:rPr>
              <w:t>El Proyecto de Resolución modifica el literal c) del artículo 12</w:t>
            </w:r>
            <w:r w:rsidR="008E2BD1">
              <w:rPr>
                <w:rFonts w:ascii="Arial" w:hAnsi="Arial" w:cs="Arial"/>
              </w:rPr>
              <w:t xml:space="preserve">, </w:t>
            </w:r>
            <w:r w:rsidRPr="00241BB8">
              <w:rPr>
                <w:rFonts w:ascii="Arial" w:hAnsi="Arial" w:cs="Arial"/>
              </w:rPr>
              <w:t xml:space="preserve">el artículo 29 </w:t>
            </w:r>
            <w:r w:rsidR="008E2BD1">
              <w:rPr>
                <w:rFonts w:ascii="Arial" w:hAnsi="Arial" w:cs="Arial"/>
              </w:rPr>
              <w:t xml:space="preserve">y el articulo 32 </w:t>
            </w:r>
            <w:r w:rsidRPr="00241BB8">
              <w:rPr>
                <w:rFonts w:ascii="Arial" w:hAnsi="Arial" w:cs="Arial"/>
              </w:rPr>
              <w:t xml:space="preserve">de la </w:t>
            </w:r>
            <w:r w:rsidR="00F11C00" w:rsidRPr="00241BB8">
              <w:rPr>
                <w:rFonts w:ascii="Arial" w:hAnsi="Arial" w:cs="Arial"/>
              </w:rPr>
              <w:t>Resolución</w:t>
            </w:r>
            <w:r w:rsidRPr="00241BB8">
              <w:rPr>
                <w:rFonts w:ascii="Arial" w:hAnsi="Arial" w:cs="Arial"/>
              </w:rPr>
              <w:t xml:space="preserve"> 3556 de 2024 </w:t>
            </w:r>
            <w:r w:rsidR="008E2BD1" w:rsidRPr="00D36048">
              <w:rPr>
                <w:rFonts w:ascii="Arial" w:hAnsi="Arial" w:cs="Arial"/>
                <w:i/>
                <w:iCs/>
              </w:rPr>
              <w:t>“</w:t>
            </w:r>
            <w:proofErr w:type="spellStart"/>
            <w:r w:rsidR="008E2BD1" w:rsidRPr="00D36048">
              <w:rPr>
                <w:rFonts w:ascii="Arial" w:hAnsi="Arial" w:cs="Arial"/>
                <w:i/>
                <w:iCs/>
              </w:rPr>
              <w:t>Porl</w:t>
            </w:r>
            <w:proofErr w:type="spellEnd"/>
            <w:r w:rsidR="008E2BD1" w:rsidRPr="00D36048">
              <w:rPr>
                <w:rFonts w:ascii="Arial" w:hAnsi="Arial" w:cs="Arial"/>
                <w:i/>
                <w:iCs/>
              </w:rPr>
              <w:t xml:space="preserve"> cual se establecen </w:t>
            </w:r>
            <w:r w:rsidRPr="00D36048">
              <w:rPr>
                <w:rFonts w:ascii="Arial" w:hAnsi="Arial" w:cs="Arial"/>
                <w:i/>
                <w:iCs/>
              </w:rPr>
              <w:t>las reglas para la asignación y ejecución de los recursos a los que se refieren los 3, 4, 9, 10, 16, 17, 18, 19 y 21 del artículo 35 de la Ley 1341 de 2009, y el artículo 45 de la Ley 1978 de 2019,</w:t>
            </w:r>
            <w:r w:rsidR="008E2BD1" w:rsidRPr="008E2BD1">
              <w:rPr>
                <w:rFonts w:ascii="Montserrat" w:hAnsi="Montserrat"/>
                <w:color w:val="555555"/>
                <w:spacing w:val="2"/>
                <w:sz w:val="20"/>
                <w:szCs w:val="20"/>
                <w:shd w:val="clear" w:color="auto" w:fill="FFFFFF"/>
                <w:lang w:val="es-ES" w:eastAsia="es-ES"/>
              </w:rPr>
              <w:t xml:space="preserve"> </w:t>
            </w:r>
            <w:r w:rsidR="008E2BD1" w:rsidRPr="008E2BD1">
              <w:rPr>
                <w:rFonts w:ascii="Arial" w:hAnsi="Arial" w:cs="Arial"/>
                <w:i/>
                <w:iCs/>
                <w:lang w:val="es-ES"/>
              </w:rPr>
              <w:t>y se derogan las Resoluciones números </w:t>
            </w:r>
            <w:hyperlink r:id="rId14" w:anchor="0" w:history="1">
              <w:r w:rsidR="008E2BD1" w:rsidRPr="008E2BD1">
                <w:rPr>
                  <w:rStyle w:val="Hyperlink"/>
                  <w:rFonts w:ascii="Arial" w:hAnsi="Arial" w:cs="Arial"/>
                  <w:i/>
                  <w:iCs/>
                  <w:lang w:val="es-ES"/>
                </w:rPr>
                <w:t>922</w:t>
              </w:r>
            </w:hyperlink>
            <w:r w:rsidR="008E2BD1" w:rsidRPr="008E2BD1">
              <w:rPr>
                <w:rFonts w:ascii="Arial" w:hAnsi="Arial" w:cs="Arial"/>
                <w:i/>
                <w:iCs/>
                <w:lang w:val="es-ES"/>
              </w:rPr>
              <w:t> de 2020 y </w:t>
            </w:r>
            <w:hyperlink r:id="rId15" w:anchor="0" w:history="1">
              <w:r w:rsidR="008E2BD1" w:rsidRPr="008E2BD1">
                <w:rPr>
                  <w:rStyle w:val="Hyperlink"/>
                  <w:rFonts w:ascii="Arial" w:hAnsi="Arial" w:cs="Arial"/>
                  <w:i/>
                  <w:iCs/>
                  <w:lang w:val="es-ES"/>
                </w:rPr>
                <w:t>2285</w:t>
              </w:r>
            </w:hyperlink>
            <w:r w:rsidR="008E2BD1" w:rsidRPr="008E2BD1">
              <w:rPr>
                <w:rFonts w:ascii="Arial" w:hAnsi="Arial" w:cs="Arial"/>
                <w:i/>
                <w:iCs/>
                <w:lang w:val="es-ES"/>
              </w:rPr>
              <w:t> de 2023</w:t>
            </w:r>
            <w:r w:rsidR="008E2BD1">
              <w:rPr>
                <w:rFonts w:ascii="Arial" w:hAnsi="Arial" w:cs="Arial"/>
                <w:i/>
                <w:iCs/>
                <w:lang w:val="es-ES"/>
              </w:rPr>
              <w:t>” la cual</w:t>
            </w:r>
            <w:r w:rsidRPr="00241BB8">
              <w:rPr>
                <w:rFonts w:ascii="Arial" w:hAnsi="Arial" w:cs="Arial"/>
              </w:rPr>
              <w:t>.</w:t>
            </w:r>
            <w:r w:rsidR="008E2BD1">
              <w:rPr>
                <w:rFonts w:ascii="Arial" w:hAnsi="Arial" w:cs="Arial"/>
              </w:rPr>
              <w:t>”</w:t>
            </w:r>
            <w:r w:rsidRPr="00241BB8">
              <w:rPr>
                <w:rFonts w:ascii="Arial" w:hAnsi="Arial" w:cs="Arial"/>
              </w:rPr>
              <w:t xml:space="preserve"> La Resolución aplica para </w:t>
            </w:r>
            <w:r w:rsidR="008E2BD1">
              <w:rPr>
                <w:rFonts w:ascii="Arial" w:hAnsi="Arial" w:cs="Arial"/>
              </w:rPr>
              <w:t xml:space="preserve">los recursos transferidos a </w:t>
            </w:r>
            <w:r w:rsidRPr="00241BB8">
              <w:rPr>
                <w:rFonts w:ascii="Arial" w:hAnsi="Arial" w:cs="Arial"/>
              </w:rPr>
              <w:t xml:space="preserve">los operadores públicos regionales del servicio público de televisión, el operador público nacional, </w:t>
            </w:r>
          </w:p>
          <w:p w14:paraId="5D0EE678" w14:textId="77777777" w:rsidR="00795C6B" w:rsidRPr="00241BB8" w:rsidRDefault="00795C6B" w:rsidP="00241BB8">
            <w:pPr>
              <w:rPr>
                <w:rFonts w:cs="Arial"/>
                <w:b/>
                <w:color w:val="000000"/>
                <w:sz w:val="22"/>
                <w:szCs w:val="22"/>
              </w:rPr>
            </w:pPr>
          </w:p>
          <w:p w14:paraId="1FAC65D5" w14:textId="77777777" w:rsidR="00795C6B" w:rsidRPr="00241BB8" w:rsidRDefault="00795C6B" w:rsidP="00241BB8">
            <w:pPr>
              <w:rPr>
                <w:rFonts w:cs="Arial"/>
                <w:b/>
                <w:color w:val="000000"/>
                <w:sz w:val="22"/>
                <w:szCs w:val="22"/>
              </w:rPr>
            </w:pPr>
          </w:p>
          <w:p w14:paraId="33CB66DC" w14:textId="77777777" w:rsidR="00795C6B" w:rsidRPr="00241BB8" w:rsidRDefault="00795C6B" w:rsidP="00241BB8">
            <w:pPr>
              <w:rPr>
                <w:rFonts w:cs="Arial"/>
                <w:iCs/>
                <w:color w:val="000000"/>
                <w:sz w:val="22"/>
                <w:szCs w:val="22"/>
              </w:rPr>
            </w:pPr>
          </w:p>
        </w:tc>
      </w:tr>
      <w:tr w:rsidR="00DF60FD" w:rsidRPr="00241BB8" w14:paraId="568C284A" w14:textId="77777777" w:rsidTr="0075705D">
        <w:trPr>
          <w:trHeight w:val="278"/>
        </w:trPr>
        <w:tc>
          <w:tcPr>
            <w:tcW w:w="10774" w:type="dxa"/>
            <w:gridSpan w:val="3"/>
            <w:tcBorders>
              <w:bottom w:val="single" w:sz="4" w:space="0" w:color="auto"/>
            </w:tcBorders>
            <w:shd w:val="clear" w:color="auto" w:fill="FFFFFF"/>
            <w:vAlign w:val="center"/>
          </w:tcPr>
          <w:p w14:paraId="3440EB42" w14:textId="77777777" w:rsidR="00DF60FD" w:rsidRPr="00241BB8" w:rsidRDefault="00795C6B" w:rsidP="00241BB8">
            <w:pPr>
              <w:ind w:left="494" w:hanging="283"/>
              <w:rPr>
                <w:rFonts w:cs="Arial"/>
                <w:b/>
                <w:color w:val="000000"/>
                <w:sz w:val="22"/>
                <w:szCs w:val="22"/>
              </w:rPr>
            </w:pPr>
            <w:r w:rsidRPr="00241BB8">
              <w:rPr>
                <w:rFonts w:cs="Arial"/>
                <w:b/>
                <w:color w:val="000000"/>
                <w:sz w:val="22"/>
                <w:szCs w:val="22"/>
              </w:rPr>
              <w:t xml:space="preserve">3. </w:t>
            </w:r>
            <w:r w:rsidR="00DF60FD" w:rsidRPr="00241BB8">
              <w:rPr>
                <w:rFonts w:cs="Arial"/>
                <w:b/>
                <w:color w:val="000000"/>
                <w:sz w:val="22"/>
                <w:szCs w:val="22"/>
              </w:rPr>
              <w:t>VIABILIDAD JURÍDICA</w:t>
            </w:r>
          </w:p>
          <w:p w14:paraId="398E1121" w14:textId="77777777" w:rsidR="00D05B67" w:rsidRPr="00241BB8" w:rsidRDefault="00D05B67" w:rsidP="00241BB8">
            <w:pPr>
              <w:ind w:left="494" w:hanging="283"/>
              <w:rPr>
                <w:rFonts w:cs="Arial"/>
                <w:i/>
                <w:color w:val="808080"/>
                <w:sz w:val="22"/>
                <w:szCs w:val="22"/>
              </w:rPr>
            </w:pPr>
            <w:r w:rsidRPr="00241BB8">
              <w:rPr>
                <w:rFonts w:cs="Arial"/>
                <w:i/>
                <w:color w:val="808080"/>
                <w:sz w:val="22"/>
                <w:szCs w:val="22"/>
              </w:rPr>
              <w:t>(Por favor desarrolle cada uno de los siguientes puntos)</w:t>
            </w:r>
          </w:p>
          <w:p w14:paraId="1A33E3C6" w14:textId="77777777" w:rsidR="00D05B67" w:rsidRPr="00241BB8" w:rsidRDefault="00D05B67" w:rsidP="00241BB8">
            <w:pPr>
              <w:ind w:left="494" w:hanging="283"/>
              <w:rPr>
                <w:rFonts w:cs="Arial"/>
                <w:i/>
                <w:color w:val="808080"/>
                <w:sz w:val="22"/>
                <w:szCs w:val="22"/>
              </w:rPr>
            </w:pPr>
          </w:p>
          <w:p w14:paraId="53B5F307" w14:textId="77777777" w:rsidR="00795C6B" w:rsidRPr="00241BB8" w:rsidRDefault="00795C6B" w:rsidP="00241BB8">
            <w:pPr>
              <w:ind w:left="494" w:hanging="283"/>
              <w:jc w:val="both"/>
              <w:rPr>
                <w:rFonts w:cs="Arial"/>
                <w:b/>
                <w:bCs/>
                <w:sz w:val="22"/>
                <w:szCs w:val="22"/>
                <w:lang w:val="es-CO" w:eastAsia="es-CO"/>
              </w:rPr>
            </w:pPr>
            <w:r w:rsidRPr="00241BB8">
              <w:rPr>
                <w:rFonts w:cs="Arial"/>
                <w:b/>
                <w:bCs/>
                <w:sz w:val="22"/>
                <w:szCs w:val="22"/>
                <w:lang w:val="es-CO" w:eastAsia="es-CO"/>
              </w:rPr>
              <w:t>3.1 Análisis de las normas que otorgan la competencia para la expedición del proyecto normativo</w:t>
            </w:r>
          </w:p>
          <w:p w14:paraId="0639340E" w14:textId="77777777" w:rsidR="00795C6B" w:rsidRPr="00241BB8" w:rsidRDefault="00795C6B" w:rsidP="00241BB8">
            <w:pPr>
              <w:jc w:val="both"/>
              <w:rPr>
                <w:rFonts w:cs="Arial"/>
                <w:sz w:val="22"/>
                <w:szCs w:val="22"/>
                <w:lang w:val="es-CO" w:eastAsia="es-CO"/>
              </w:rPr>
            </w:pPr>
          </w:p>
          <w:p w14:paraId="4FA0C002" w14:textId="38942391" w:rsidR="006446B8" w:rsidRPr="00241BB8" w:rsidRDefault="006446B8" w:rsidP="00241BB8">
            <w:pPr>
              <w:jc w:val="both"/>
              <w:rPr>
                <w:rFonts w:cs="Arial"/>
                <w:sz w:val="22"/>
                <w:szCs w:val="22"/>
                <w:lang w:val="es-CO" w:eastAsia="es-CO"/>
              </w:rPr>
            </w:pPr>
            <w:r w:rsidRPr="00241BB8">
              <w:rPr>
                <w:rFonts w:cs="Arial"/>
                <w:sz w:val="22"/>
                <w:szCs w:val="22"/>
                <w:lang w:val="es-CO" w:eastAsia="es-CO"/>
              </w:rPr>
              <w:t xml:space="preserve">En este mismo sentido el numeral 9 del artículo 2 de la Ley 1341 de 2009 establece como principio la “Promoción de los contenidos multiplataforma de interés público”, que implica la garantía por parte del Estado de la promoción de los contenidos multiplataforma de interés público, a nivel nacional y regional, cuyo objetivo es fomentar la participación ciudadana y promover valores cívicos, el reconocimiento de las diversas identidades étnicas, culturales y religiosas, la equidad de género, la inclusión política y social, así como la integración nacional, el fortalecimiento de la democracia y el acceso al conocimiento, a través de la radiodifusión sonora pública y la televisión pública y el uso de nuevos medios públicos mediante mecanismos multiplataforma. </w:t>
            </w:r>
          </w:p>
          <w:p w14:paraId="26EE4939" w14:textId="1E7BDF49" w:rsidR="006446B8" w:rsidRPr="00241BB8" w:rsidRDefault="006446B8" w:rsidP="00241BB8">
            <w:pPr>
              <w:jc w:val="both"/>
              <w:rPr>
                <w:rFonts w:cs="Arial"/>
                <w:sz w:val="22"/>
                <w:szCs w:val="22"/>
                <w:lang w:val="es-CO" w:eastAsia="es-CO"/>
              </w:rPr>
            </w:pPr>
            <w:r w:rsidRPr="00241BB8">
              <w:rPr>
                <w:rFonts w:cs="Arial"/>
                <w:sz w:val="22"/>
                <w:szCs w:val="22"/>
                <w:lang w:val="es-CO" w:eastAsia="es-CO"/>
              </w:rPr>
              <w:t xml:space="preserve"> </w:t>
            </w:r>
          </w:p>
          <w:p w14:paraId="42F53C24" w14:textId="1D5371CB" w:rsidR="006446B8" w:rsidRPr="00241BB8" w:rsidRDefault="006446B8" w:rsidP="00241BB8">
            <w:pPr>
              <w:jc w:val="both"/>
              <w:rPr>
                <w:rFonts w:cs="Arial"/>
                <w:sz w:val="22"/>
                <w:szCs w:val="22"/>
                <w:lang w:val="es-CO" w:eastAsia="es-CO"/>
              </w:rPr>
            </w:pPr>
            <w:r w:rsidRPr="00241BB8">
              <w:rPr>
                <w:rFonts w:cs="Arial"/>
                <w:sz w:val="22"/>
                <w:szCs w:val="22"/>
                <w:lang w:val="es-CO" w:eastAsia="es-CO"/>
              </w:rPr>
              <w:t xml:space="preserve">Por su parte, el inciso 3 del artículo 34 de la Ley 1341 de 2009 dispone que </w:t>
            </w:r>
            <w:r w:rsidRPr="00241BB8">
              <w:rPr>
                <w:rFonts w:cs="Arial"/>
                <w:i/>
                <w:iCs/>
                <w:sz w:val="22"/>
                <w:szCs w:val="22"/>
                <w:lang w:val="es-CO" w:eastAsia="es-CO"/>
              </w:rPr>
              <w:t>“Como garantía de la televisión pública y de la radiodifusión sonora pública, se mantendrá anualmente, por lo menos, el monto máximo de recursos que, desde la creación del Fondo para el Desarrollo de la Televisión y los Contenidos (</w:t>
            </w:r>
            <w:proofErr w:type="spellStart"/>
            <w:r w:rsidRPr="00241BB8">
              <w:rPr>
                <w:rFonts w:cs="Arial"/>
                <w:i/>
                <w:iCs/>
                <w:sz w:val="22"/>
                <w:szCs w:val="22"/>
                <w:lang w:val="es-CO" w:eastAsia="es-CO"/>
              </w:rPr>
              <w:t>FonTV</w:t>
            </w:r>
            <w:proofErr w:type="spellEnd"/>
            <w:r w:rsidRPr="00241BB8">
              <w:rPr>
                <w:rFonts w:cs="Arial"/>
                <w:i/>
                <w:iCs/>
                <w:sz w:val="22"/>
                <w:szCs w:val="22"/>
                <w:lang w:val="es-CO" w:eastAsia="es-CO"/>
              </w:rPr>
              <w:t>), fueron destinados por este a RTVC y a los canales regionales de televisión. Así mismo, se mantendrá, por lo menos, el monto promedio destinado a RTVC por el Fondo de Tecnologías de la Información y las Comunicaciones (</w:t>
            </w:r>
            <w:proofErr w:type="spellStart"/>
            <w:r w:rsidRPr="00241BB8">
              <w:rPr>
                <w:rFonts w:cs="Arial"/>
                <w:i/>
                <w:iCs/>
                <w:sz w:val="22"/>
                <w:szCs w:val="22"/>
                <w:lang w:val="es-CO" w:eastAsia="es-CO"/>
              </w:rPr>
              <w:t>FonTIC</w:t>
            </w:r>
            <w:proofErr w:type="spellEnd"/>
            <w:r w:rsidRPr="00241BB8">
              <w:rPr>
                <w:rFonts w:cs="Arial"/>
                <w:i/>
                <w:iCs/>
                <w:sz w:val="22"/>
                <w:szCs w:val="22"/>
                <w:lang w:val="es-CO" w:eastAsia="es-CO"/>
              </w:rPr>
              <w:t xml:space="preserve">), desde su creación, para la radiodifusión sonora pública. Estos montos serán traídos a su valor </w:t>
            </w:r>
            <w:r w:rsidRPr="00241BB8">
              <w:rPr>
                <w:rFonts w:cs="Arial"/>
                <w:i/>
                <w:iCs/>
                <w:sz w:val="22"/>
                <w:szCs w:val="22"/>
                <w:lang w:val="es-CO" w:eastAsia="es-CO"/>
              </w:rPr>
              <w:lastRenderedPageBreak/>
              <w:t xml:space="preserve">presente al momento de la entrada en vigencia de la presente ley y esta base será ajustada en el mismo porcentaje de variación anual del Índice de Precios al Consumidor (IPC)”.  </w:t>
            </w:r>
          </w:p>
          <w:p w14:paraId="5F3E6672" w14:textId="77777777" w:rsidR="006446B8" w:rsidRPr="00241BB8" w:rsidRDefault="006446B8" w:rsidP="00241BB8">
            <w:pPr>
              <w:jc w:val="both"/>
              <w:rPr>
                <w:rFonts w:cs="Arial"/>
                <w:sz w:val="22"/>
                <w:szCs w:val="22"/>
                <w:lang w:val="es-CO" w:eastAsia="es-CO"/>
              </w:rPr>
            </w:pPr>
          </w:p>
          <w:p w14:paraId="161D5746" w14:textId="77777777" w:rsidR="009946C7" w:rsidRPr="00241BB8" w:rsidRDefault="009946C7" w:rsidP="00241BB8">
            <w:pPr>
              <w:jc w:val="both"/>
              <w:rPr>
                <w:rFonts w:cs="Arial"/>
                <w:sz w:val="22"/>
                <w:szCs w:val="22"/>
                <w:lang w:val="es-CO" w:eastAsia="es-CO"/>
              </w:rPr>
            </w:pPr>
          </w:p>
          <w:p w14:paraId="43DA031C" w14:textId="77777777" w:rsidR="006446B8" w:rsidRPr="00241BB8" w:rsidRDefault="006446B8" w:rsidP="00241BB8">
            <w:pPr>
              <w:jc w:val="both"/>
              <w:rPr>
                <w:rFonts w:cs="Arial"/>
                <w:sz w:val="22"/>
                <w:szCs w:val="22"/>
                <w:lang w:val="es-CO" w:eastAsia="es-CO"/>
              </w:rPr>
            </w:pPr>
          </w:p>
          <w:p w14:paraId="5B8EAEC3" w14:textId="77777777" w:rsidR="00795C6B" w:rsidRPr="00241BB8" w:rsidRDefault="00795C6B" w:rsidP="00241BB8">
            <w:pPr>
              <w:ind w:left="494" w:hanging="283"/>
              <w:jc w:val="both"/>
              <w:rPr>
                <w:rFonts w:cs="Arial"/>
                <w:b/>
                <w:bCs/>
                <w:sz w:val="22"/>
                <w:szCs w:val="22"/>
                <w:lang w:val="es-CO" w:eastAsia="es-CO"/>
              </w:rPr>
            </w:pPr>
            <w:r w:rsidRPr="00241BB8">
              <w:rPr>
                <w:rFonts w:cs="Arial"/>
                <w:b/>
                <w:bCs/>
                <w:sz w:val="22"/>
                <w:szCs w:val="22"/>
                <w:lang w:val="es-CO" w:eastAsia="es-CO"/>
              </w:rPr>
              <w:t>3.2 Vigencia de la ley o norma reglamentada o desarrollada</w:t>
            </w:r>
          </w:p>
          <w:p w14:paraId="0BD35917" w14:textId="77777777" w:rsidR="00795C6B" w:rsidRPr="00241BB8" w:rsidRDefault="00795C6B" w:rsidP="00241BB8">
            <w:pPr>
              <w:jc w:val="both"/>
              <w:rPr>
                <w:rFonts w:cs="Arial"/>
                <w:sz w:val="22"/>
                <w:szCs w:val="22"/>
                <w:lang w:val="es-CO" w:eastAsia="es-CO"/>
              </w:rPr>
            </w:pPr>
          </w:p>
          <w:p w14:paraId="78FBFC4D" w14:textId="7261787E" w:rsidR="009946C7" w:rsidRPr="00241BB8" w:rsidRDefault="009946C7" w:rsidP="00241BB8">
            <w:pPr>
              <w:jc w:val="both"/>
              <w:rPr>
                <w:rFonts w:cs="Arial"/>
                <w:sz w:val="22"/>
                <w:szCs w:val="22"/>
                <w:lang w:val="es-CO" w:eastAsia="es-CO"/>
              </w:rPr>
            </w:pPr>
            <w:r w:rsidRPr="00241BB8">
              <w:rPr>
                <w:rFonts w:cs="Arial"/>
                <w:sz w:val="22"/>
                <w:szCs w:val="22"/>
                <w:lang w:val="es-CO" w:eastAsia="es-CO"/>
              </w:rPr>
              <w:t>El artículo 35 de la Ley 1341 de 2009 modificado por el artículo 21 de la Ley 1978 de 2019, se encuentra vigente. De igual forma el proyecto busca modificar artículos específicos de la Resolución 3556 de 2024 la cual se encuentra actualmente vigente.</w:t>
            </w:r>
          </w:p>
          <w:p w14:paraId="50486AEF" w14:textId="77777777" w:rsidR="009946C7" w:rsidRPr="00241BB8" w:rsidRDefault="009946C7" w:rsidP="00241BB8">
            <w:pPr>
              <w:jc w:val="both"/>
              <w:rPr>
                <w:rFonts w:cs="Arial"/>
                <w:sz w:val="22"/>
                <w:szCs w:val="22"/>
                <w:lang w:val="es-CO" w:eastAsia="es-CO"/>
              </w:rPr>
            </w:pPr>
          </w:p>
          <w:p w14:paraId="460D908F" w14:textId="77777777" w:rsidR="00795C6B" w:rsidRPr="00241BB8" w:rsidRDefault="00795C6B" w:rsidP="00241BB8">
            <w:pPr>
              <w:ind w:left="494" w:hanging="283"/>
              <w:jc w:val="both"/>
              <w:rPr>
                <w:rFonts w:cs="Arial"/>
                <w:b/>
                <w:bCs/>
                <w:sz w:val="22"/>
                <w:szCs w:val="22"/>
                <w:lang w:val="es-CO" w:eastAsia="es-CO"/>
              </w:rPr>
            </w:pPr>
            <w:r w:rsidRPr="00241BB8">
              <w:rPr>
                <w:rFonts w:cs="Arial"/>
                <w:b/>
                <w:bCs/>
                <w:sz w:val="22"/>
                <w:szCs w:val="22"/>
                <w:lang w:val="es-CO" w:eastAsia="es-CO"/>
              </w:rPr>
              <w:t>3.3. Disposiciones derogas, subrogadas, modificadas, adicionadas</w:t>
            </w:r>
            <w:r w:rsidR="00D05B67" w:rsidRPr="00241BB8">
              <w:rPr>
                <w:rFonts w:cs="Arial"/>
                <w:b/>
                <w:bCs/>
                <w:sz w:val="22"/>
                <w:szCs w:val="22"/>
                <w:lang w:val="es-CO" w:eastAsia="es-CO"/>
              </w:rPr>
              <w:t xml:space="preserve"> o sustituidas </w:t>
            </w:r>
          </w:p>
          <w:p w14:paraId="116FA98D" w14:textId="77777777" w:rsidR="00D05B67" w:rsidRPr="00241BB8" w:rsidRDefault="00D05B67" w:rsidP="00241BB8">
            <w:pPr>
              <w:jc w:val="both"/>
              <w:rPr>
                <w:rFonts w:cs="Arial"/>
                <w:sz w:val="22"/>
                <w:szCs w:val="22"/>
                <w:lang w:val="es-CO" w:eastAsia="es-CO"/>
              </w:rPr>
            </w:pPr>
          </w:p>
          <w:p w14:paraId="4251E007" w14:textId="5F2BB67F" w:rsidR="009946C7" w:rsidRPr="00241BB8" w:rsidRDefault="009946C7" w:rsidP="00241BB8">
            <w:pPr>
              <w:pStyle w:val="Default"/>
              <w:jc w:val="both"/>
              <w:rPr>
                <w:sz w:val="22"/>
                <w:szCs w:val="22"/>
              </w:rPr>
            </w:pPr>
            <w:r w:rsidRPr="00241BB8">
              <w:rPr>
                <w:sz w:val="22"/>
                <w:szCs w:val="22"/>
              </w:rPr>
              <w:t>Con el proyecto de resolución se pretende modificar el literal c) del artículo 12</w:t>
            </w:r>
            <w:r w:rsidR="008E2BD1">
              <w:rPr>
                <w:sz w:val="22"/>
                <w:szCs w:val="22"/>
              </w:rPr>
              <w:t xml:space="preserve">, </w:t>
            </w:r>
            <w:r w:rsidRPr="00241BB8">
              <w:rPr>
                <w:sz w:val="22"/>
                <w:szCs w:val="22"/>
              </w:rPr>
              <w:t xml:space="preserve">el </w:t>
            </w:r>
            <w:r w:rsidR="00614961">
              <w:rPr>
                <w:sz w:val="22"/>
                <w:szCs w:val="22"/>
              </w:rPr>
              <w:t xml:space="preserve">parágrafo del </w:t>
            </w:r>
            <w:r w:rsidRPr="00241BB8">
              <w:rPr>
                <w:sz w:val="22"/>
                <w:szCs w:val="22"/>
              </w:rPr>
              <w:t>artículo 29</w:t>
            </w:r>
            <w:r w:rsidR="008E2BD1">
              <w:rPr>
                <w:sz w:val="22"/>
                <w:szCs w:val="22"/>
              </w:rPr>
              <w:t xml:space="preserve"> y el parágrafo del artículo 32</w:t>
            </w:r>
            <w:r w:rsidRPr="00241BB8">
              <w:rPr>
                <w:sz w:val="22"/>
                <w:szCs w:val="22"/>
              </w:rPr>
              <w:t xml:space="preserve"> de la Resolución 3556 de 2024,</w:t>
            </w:r>
          </w:p>
          <w:p w14:paraId="6890FBAB" w14:textId="77777777" w:rsidR="009946C7" w:rsidRPr="00241BB8" w:rsidRDefault="009946C7" w:rsidP="00241BB8">
            <w:pPr>
              <w:jc w:val="both"/>
              <w:rPr>
                <w:rFonts w:cs="Arial"/>
                <w:b/>
                <w:bCs/>
                <w:sz w:val="22"/>
                <w:szCs w:val="22"/>
                <w:lang w:val="es-CO" w:eastAsia="es-CO"/>
              </w:rPr>
            </w:pPr>
          </w:p>
          <w:p w14:paraId="18A43BC1" w14:textId="77777777" w:rsidR="009946C7" w:rsidRPr="00241BB8" w:rsidRDefault="009946C7" w:rsidP="00241BB8">
            <w:pPr>
              <w:jc w:val="both"/>
              <w:rPr>
                <w:rFonts w:cs="Arial"/>
                <w:sz w:val="22"/>
                <w:szCs w:val="22"/>
                <w:lang w:val="es-CO" w:eastAsia="es-CO"/>
              </w:rPr>
            </w:pPr>
          </w:p>
          <w:p w14:paraId="03C83369" w14:textId="77777777" w:rsidR="00D05B67" w:rsidRPr="00241BB8" w:rsidRDefault="00D05B67" w:rsidP="00241BB8">
            <w:pPr>
              <w:ind w:left="494" w:hanging="283"/>
              <w:jc w:val="both"/>
              <w:rPr>
                <w:rFonts w:cs="Arial"/>
                <w:b/>
                <w:bCs/>
                <w:sz w:val="22"/>
                <w:szCs w:val="22"/>
                <w:lang w:val="es-CO" w:eastAsia="es-CO"/>
              </w:rPr>
            </w:pPr>
            <w:r w:rsidRPr="00241BB8">
              <w:rPr>
                <w:rFonts w:cs="Arial"/>
                <w:b/>
                <w:bCs/>
                <w:sz w:val="22"/>
                <w:szCs w:val="22"/>
                <w:lang w:val="es-CO" w:eastAsia="es-CO"/>
              </w:rPr>
              <w:t>3.4 Revisión y análisis de la jurisprudencia que tenga impacto o sea relevante para la expedición del proyecto normativo (órganos de cierre de cada jurisdicción)</w:t>
            </w:r>
          </w:p>
          <w:p w14:paraId="3268E490" w14:textId="77777777" w:rsidR="00D05B67" w:rsidRPr="00241BB8" w:rsidRDefault="00D05B67" w:rsidP="00241BB8">
            <w:pPr>
              <w:jc w:val="both"/>
              <w:rPr>
                <w:rFonts w:cs="Arial"/>
                <w:sz w:val="22"/>
                <w:szCs w:val="22"/>
                <w:lang w:val="es-CO" w:eastAsia="es-CO"/>
              </w:rPr>
            </w:pPr>
          </w:p>
          <w:p w14:paraId="7C2FAA4B" w14:textId="7D25C0FC" w:rsidR="009946C7" w:rsidRPr="00241BB8" w:rsidRDefault="009946C7" w:rsidP="00241BB8">
            <w:pPr>
              <w:jc w:val="both"/>
              <w:rPr>
                <w:rFonts w:cs="Arial"/>
                <w:sz w:val="22"/>
                <w:szCs w:val="22"/>
                <w:lang w:val="es-CO" w:eastAsia="es-CO"/>
              </w:rPr>
            </w:pPr>
            <w:r w:rsidRPr="00241BB8">
              <w:rPr>
                <w:rFonts w:cs="Arial"/>
                <w:sz w:val="22"/>
                <w:szCs w:val="22"/>
                <w:lang w:val="es-CO" w:eastAsia="es-CO"/>
              </w:rPr>
              <w:t>No se conocen precedentes jurisprudenciales que puedan tener impacto o ser relevantes para la expedición del acto.</w:t>
            </w:r>
          </w:p>
          <w:p w14:paraId="10ABD147" w14:textId="77777777" w:rsidR="00CF0BE3" w:rsidRPr="00241BB8" w:rsidRDefault="00CF0BE3" w:rsidP="00241BB8">
            <w:pPr>
              <w:jc w:val="both"/>
              <w:rPr>
                <w:rFonts w:cs="Arial"/>
                <w:sz w:val="22"/>
                <w:szCs w:val="22"/>
                <w:lang w:val="es-CO" w:eastAsia="es-CO"/>
              </w:rPr>
            </w:pPr>
          </w:p>
          <w:p w14:paraId="7D154299" w14:textId="77777777" w:rsidR="00D05B67" w:rsidRPr="00241BB8" w:rsidRDefault="00D05B67" w:rsidP="00241BB8">
            <w:pPr>
              <w:ind w:left="494" w:hanging="283"/>
              <w:jc w:val="both"/>
              <w:rPr>
                <w:rFonts w:cs="Arial"/>
                <w:b/>
                <w:bCs/>
                <w:sz w:val="22"/>
                <w:szCs w:val="22"/>
                <w:lang w:val="es-CO" w:eastAsia="es-CO"/>
              </w:rPr>
            </w:pPr>
            <w:r w:rsidRPr="00241BB8">
              <w:rPr>
                <w:rFonts w:cs="Arial"/>
                <w:b/>
                <w:bCs/>
                <w:sz w:val="22"/>
                <w:szCs w:val="22"/>
                <w:lang w:val="es-CO" w:eastAsia="es-CO"/>
              </w:rPr>
              <w:t xml:space="preserve">3.5 Circunstancias jurídicas adicionales </w:t>
            </w:r>
          </w:p>
          <w:p w14:paraId="33A8E311" w14:textId="77777777" w:rsidR="00D05B67" w:rsidRPr="00241BB8" w:rsidRDefault="00D05B67"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109E36C5" w14:textId="5D369660" w:rsidR="00285FB5" w:rsidRPr="00285FB5" w:rsidRDefault="00285FB5" w:rsidP="00285FB5">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r w:rsidRPr="00285FB5">
              <w:rPr>
                <w:rFonts w:cs="Arial"/>
                <w:sz w:val="22"/>
                <w:szCs w:val="22"/>
                <w:lang w:val="es-CO" w:eastAsia="es-CO"/>
              </w:rPr>
              <w:t xml:space="preserve">La publicación de la modificación de la Resolución por un término de cinco (5) días </w:t>
            </w:r>
            <w:r>
              <w:rPr>
                <w:rFonts w:cs="Arial"/>
                <w:sz w:val="22"/>
                <w:szCs w:val="22"/>
                <w:lang w:val="es-CO" w:eastAsia="es-CO"/>
              </w:rPr>
              <w:t xml:space="preserve">calendario en aplicación del criterio excepcional previsto en el parágrafo 1 del </w:t>
            </w:r>
            <w:r w:rsidRPr="00285FB5">
              <w:rPr>
                <w:rFonts w:cs="Arial"/>
                <w:sz w:val="22"/>
                <w:szCs w:val="22"/>
                <w:lang w:val="es-CO" w:eastAsia="es-CO"/>
              </w:rPr>
              <w:t>artículo 1.3.1 de la Resolución MinTIC 1857 de en atención a la necesidad urgente de ajustar la redacción de los parágrafos relacionados con la ejecución de los recursos asignados a los operadores públicos del servicio de televisión, teniendo en cuenta que, conforme a las disposiciones de la Ley 1341 de 2009 y la Ley 1978 de 2019, estos recursos están directamente ligados a la sostenibilidad financiera, continuidad operativa y cumplimiento de los fines del servicio público de televisión. La normativa actual, al establecer reducciones automáticas del 5% sin considerar las circunstancias que originan la inejecución, puede generar afectaciones desproporcionadas a la operación de los canales públicos, especialmente en un contexto donde enfrentan incrementos constantes en costos operativos, gastos de mantenimiento y obligaciones contractuales. Dado que estas decisiones impactan de forma inmediata la planeación presupuestal del año siguiente, resulta indispensable adoptar el ajuste con celeridad, de manera que los operadores cuenten oportunamente con reglas claras y aplicables antes de la programación definitiva de sus vigencias fiscales.</w:t>
            </w:r>
          </w:p>
          <w:p w14:paraId="20A7D300" w14:textId="77777777" w:rsidR="00285FB5" w:rsidRPr="00285FB5" w:rsidRDefault="00285FB5" w:rsidP="00285FB5">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5134DF94" w14:textId="48BA2D6A" w:rsidR="00795C6B" w:rsidRPr="00241BB8" w:rsidRDefault="00285FB5" w:rsidP="00285FB5">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r w:rsidRPr="00285FB5">
              <w:rPr>
                <w:rFonts w:cs="Arial"/>
                <w:sz w:val="22"/>
                <w:szCs w:val="22"/>
                <w:lang w:val="es-CO" w:eastAsia="es-CO"/>
              </w:rPr>
              <w:t xml:space="preserve">De igual forma, el ajuste normativo requiere una pronta entrada en vigencia debido a la estrecha relación entre los plazos de ejecución definidos en la Resolución 3556 de 2024 y las reglas del Estatuto Orgánico de Presupuesto, que exigen que la totalidad de los compromisos y obligaciones de cada vigencia fiscal se perfeccionen dentro del período del 1 de enero al 31 de diciembre. La existencia de plazos excesivamente rígidos —como los actualmente fijados para comprometer y ejecutar recursos— puede obstaculizar la gestión eficiente de los operadores regionales, cuya dinámica requiere mayor flexibilidad para cumplir los fines del servicio público de televisión y ajustar sus procesos de contratación, producción y adquisición de contenidos. Por tanto, y conforme a lo previsto en el parágrafo 1 del artículo aplicable, se justifica la adopción de un término </w:t>
            </w:r>
            <w:r w:rsidRPr="00285FB5">
              <w:rPr>
                <w:rFonts w:cs="Arial"/>
                <w:sz w:val="22"/>
                <w:szCs w:val="22"/>
                <w:lang w:val="es-CO" w:eastAsia="es-CO"/>
              </w:rPr>
              <w:lastRenderedPageBreak/>
              <w:t>de publicación inferior al ordinario, toda vez que la urgencia administrativa y la necesidad de garantizar continuidad operativa constituyen circunstancias suficientes que respaldan el tratamiento excepcional y aseguran la legalidad y razonabilidad del plazo reducido.</w:t>
            </w:r>
          </w:p>
          <w:p w14:paraId="683531A1" w14:textId="77777777" w:rsidR="00795C6B" w:rsidRDefault="00795C6B"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6C1DBFBE" w14:textId="77777777" w:rsidR="00285FB5" w:rsidRDefault="00285FB5"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r w:rsidRPr="00285FB5">
              <w:rPr>
                <w:rFonts w:cs="Arial"/>
                <w:sz w:val="22"/>
                <w:szCs w:val="22"/>
                <w:lang w:val="es-CO" w:eastAsia="es-CO"/>
              </w:rPr>
              <w:t>Es importante precisar que la modificación propuesta no genera un impacto negativo directo sobre los operadores públicos del servicio de televisión, en tanto no altera la fórmula de asignación presupuestal ni modifica los montos que cada entidad recibe por mandato legal. El ajuste recae exclusivamente sobre el ejercicio de la facultad discrecional del Ministerio para valorar, caso a caso, las circunstancias que hayan dado lugar a la inejecución de recursos, evitando la aplicación automática de una reducción que podría resultar inequitativa. En consecuencia, la modificación tiene efectos estrictamente internos respecto de la forma en que el Ministerio analiza y decide la procedencia de dicha reducción, sin comportar cargas nuevas para los operadores ni afectar su operación, sostenibilidad o autonomía administrativa.</w:t>
            </w:r>
          </w:p>
          <w:p w14:paraId="79A0243A" w14:textId="77777777" w:rsidR="008F1340" w:rsidRDefault="008F1340"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74720DE6" w14:textId="72FD9A64" w:rsidR="008F1340" w:rsidRPr="00241BB8" w:rsidRDefault="008F1340"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r>
              <w:rPr>
                <w:rFonts w:cs="Arial"/>
                <w:sz w:val="22"/>
                <w:szCs w:val="22"/>
                <w:lang w:val="es-CO" w:eastAsia="es-CO"/>
              </w:rPr>
              <w:t>De igual forma el plazo acortado fue aprobado por el Despacho de la Ministra de Tecnologías de la Información y las Comunicaciones.</w:t>
            </w:r>
          </w:p>
        </w:tc>
      </w:tr>
      <w:tr w:rsidR="00DF60FD" w:rsidRPr="00241BB8"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843EFF" w:rsidRPr="00241BB8" w:rsidRDefault="00843EFF" w:rsidP="00241BB8">
            <w:pPr>
              <w:rPr>
                <w:rFonts w:cs="Arial"/>
                <w:b/>
                <w:color w:val="000000"/>
                <w:sz w:val="22"/>
                <w:szCs w:val="22"/>
              </w:rPr>
            </w:pPr>
          </w:p>
          <w:p w14:paraId="20F9F106" w14:textId="425F20D3" w:rsidR="006446B8" w:rsidRPr="00241BB8" w:rsidRDefault="00DF60FD" w:rsidP="00241BB8">
            <w:pPr>
              <w:numPr>
                <w:ilvl w:val="0"/>
                <w:numId w:val="45"/>
              </w:numPr>
              <w:rPr>
                <w:rFonts w:cs="Arial"/>
                <w:b/>
                <w:color w:val="000000"/>
                <w:sz w:val="22"/>
                <w:szCs w:val="22"/>
              </w:rPr>
            </w:pPr>
            <w:r w:rsidRPr="00241BB8">
              <w:rPr>
                <w:rFonts w:cs="Arial"/>
                <w:b/>
                <w:color w:val="000000"/>
                <w:sz w:val="22"/>
                <w:szCs w:val="22"/>
              </w:rPr>
              <w:t xml:space="preserve">IMPACTO ECONÓMICO </w:t>
            </w:r>
            <w:r w:rsidR="00D05B67" w:rsidRPr="00241BB8">
              <w:rPr>
                <w:rFonts w:cs="Arial"/>
                <w:color w:val="000000"/>
                <w:sz w:val="22"/>
                <w:szCs w:val="22"/>
              </w:rPr>
              <w:t>(Si se requiere)</w:t>
            </w:r>
          </w:p>
          <w:p w14:paraId="115F9A25" w14:textId="77777777" w:rsidR="00CF0BE3" w:rsidRPr="00241BB8" w:rsidRDefault="00CF0BE3" w:rsidP="00241BB8">
            <w:pPr>
              <w:ind w:left="720"/>
              <w:rPr>
                <w:rFonts w:cs="Arial"/>
                <w:b/>
                <w:color w:val="000000"/>
                <w:sz w:val="22"/>
                <w:szCs w:val="22"/>
              </w:rPr>
            </w:pPr>
          </w:p>
          <w:p w14:paraId="3CC52C42" w14:textId="4A289C1A" w:rsidR="00795C6B" w:rsidRPr="00241BB8" w:rsidRDefault="006446B8" w:rsidP="00241BB8">
            <w:pPr>
              <w:jc w:val="both"/>
              <w:rPr>
                <w:rFonts w:cs="Arial"/>
                <w:sz w:val="22"/>
                <w:szCs w:val="22"/>
                <w:lang w:val="es-CO"/>
              </w:rPr>
            </w:pPr>
            <w:r w:rsidRPr="00241BB8">
              <w:rPr>
                <w:rFonts w:cs="Arial"/>
                <w:sz w:val="22"/>
                <w:szCs w:val="22"/>
                <w:lang w:val="es-CO"/>
              </w:rPr>
              <w:t xml:space="preserve">La presente resolución no genera impacto económico alguno </w:t>
            </w:r>
            <w:r w:rsidRPr="00241BB8">
              <w:rPr>
                <w:rFonts w:cs="Arial"/>
                <w:sz w:val="22"/>
                <w:szCs w:val="22"/>
              </w:rPr>
              <w:t>para el Ministerio ni para el Fondo Único de Tecnologías de la Información y las Comunicaciones</w:t>
            </w:r>
            <w:r w:rsidRPr="00241BB8">
              <w:rPr>
                <w:rFonts w:cs="Arial"/>
                <w:sz w:val="22"/>
                <w:szCs w:val="22"/>
                <w:lang w:val="es-CO"/>
              </w:rPr>
              <w:t xml:space="preserve">, debido a que su naturaleza es de compilación normativa. </w:t>
            </w:r>
          </w:p>
          <w:p w14:paraId="733FBAC9" w14:textId="77777777" w:rsidR="00843EFF" w:rsidRPr="00241BB8" w:rsidRDefault="00843EFF" w:rsidP="00241BB8">
            <w:pPr>
              <w:jc w:val="both"/>
              <w:rPr>
                <w:rFonts w:cs="Arial"/>
                <w:sz w:val="22"/>
                <w:szCs w:val="22"/>
                <w:lang w:val="es-CO"/>
              </w:rPr>
            </w:pPr>
          </w:p>
        </w:tc>
      </w:tr>
      <w:tr w:rsidR="00DF60FD" w:rsidRPr="00241BB8"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241BB8" w:rsidRDefault="00843EFF" w:rsidP="00241BB8">
            <w:pPr>
              <w:rPr>
                <w:rFonts w:cs="Arial"/>
                <w:b/>
                <w:color w:val="000000"/>
                <w:sz w:val="22"/>
                <w:szCs w:val="22"/>
              </w:rPr>
            </w:pPr>
          </w:p>
          <w:p w14:paraId="7DBD1743" w14:textId="77777777" w:rsidR="00DF60FD" w:rsidRPr="00241BB8" w:rsidRDefault="00795C6B" w:rsidP="00241BB8">
            <w:pPr>
              <w:numPr>
                <w:ilvl w:val="0"/>
                <w:numId w:val="45"/>
              </w:numPr>
              <w:rPr>
                <w:rFonts w:cs="Arial"/>
                <w:b/>
                <w:color w:val="000000"/>
                <w:sz w:val="22"/>
                <w:szCs w:val="22"/>
              </w:rPr>
            </w:pPr>
            <w:r w:rsidRPr="00241BB8">
              <w:rPr>
                <w:rFonts w:cs="Arial"/>
                <w:b/>
                <w:color w:val="000000"/>
                <w:sz w:val="22"/>
                <w:szCs w:val="22"/>
              </w:rPr>
              <w:t xml:space="preserve">VIABILIDAD O </w:t>
            </w:r>
            <w:r w:rsidR="00DF60FD" w:rsidRPr="00241BB8">
              <w:rPr>
                <w:rFonts w:cs="Arial"/>
                <w:b/>
                <w:color w:val="000000"/>
                <w:sz w:val="22"/>
                <w:szCs w:val="22"/>
              </w:rPr>
              <w:t xml:space="preserve">DISPONIBILIDAD PRESUPUESTAL </w:t>
            </w:r>
            <w:r w:rsidR="00D05B67" w:rsidRPr="00241BB8">
              <w:rPr>
                <w:rFonts w:cs="Arial"/>
                <w:color w:val="000000"/>
                <w:sz w:val="22"/>
                <w:szCs w:val="22"/>
              </w:rPr>
              <w:t>(Si se requiere)</w:t>
            </w:r>
          </w:p>
          <w:p w14:paraId="19ED92E2" w14:textId="77777777" w:rsidR="00CF0BE3" w:rsidRPr="00241BB8" w:rsidRDefault="00CF0BE3" w:rsidP="00241BB8">
            <w:pPr>
              <w:rPr>
                <w:rFonts w:cs="Arial"/>
                <w:bCs/>
                <w:color w:val="000000"/>
                <w:sz w:val="22"/>
                <w:szCs w:val="22"/>
              </w:rPr>
            </w:pPr>
          </w:p>
          <w:p w14:paraId="67DDB395" w14:textId="4D18FCD5" w:rsidR="00F77DB8" w:rsidRPr="00241BB8" w:rsidRDefault="00CF0BE3" w:rsidP="00241BB8">
            <w:pPr>
              <w:rPr>
                <w:rFonts w:cs="Arial"/>
                <w:b/>
                <w:bCs/>
                <w:color w:val="000000"/>
                <w:sz w:val="22"/>
                <w:szCs w:val="22"/>
              </w:rPr>
            </w:pPr>
            <w:r w:rsidRPr="00241BB8">
              <w:rPr>
                <w:rFonts w:cs="Arial"/>
                <w:bCs/>
                <w:color w:val="000000"/>
                <w:sz w:val="22"/>
                <w:szCs w:val="22"/>
              </w:rPr>
              <w:t>El proyecto no requiere certificado de disponibilidad presupuestal por cuanto su implementación no genera impacto económico para el MINTIC ni el FUTIC.</w:t>
            </w:r>
          </w:p>
          <w:p w14:paraId="139BA6FB" w14:textId="033D75D2" w:rsidR="00F77DB8" w:rsidRPr="00241BB8" w:rsidRDefault="00F77DB8" w:rsidP="00241BB8">
            <w:pPr>
              <w:rPr>
                <w:rFonts w:cs="Arial"/>
                <w:sz w:val="22"/>
                <w:szCs w:val="22"/>
                <w:lang w:eastAsia="es-CO"/>
              </w:rPr>
            </w:pPr>
          </w:p>
        </w:tc>
      </w:tr>
      <w:tr w:rsidR="00DF60FD" w:rsidRPr="00241BB8"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1D5B47B5" w14:textId="77777777" w:rsidR="00DF60FD" w:rsidRPr="00241BB8" w:rsidRDefault="00DF60FD" w:rsidP="00241BB8">
            <w:pPr>
              <w:numPr>
                <w:ilvl w:val="0"/>
                <w:numId w:val="45"/>
              </w:numPr>
              <w:jc w:val="both"/>
              <w:rPr>
                <w:rFonts w:cs="Arial"/>
                <w:b/>
                <w:color w:val="000000"/>
                <w:sz w:val="22"/>
                <w:szCs w:val="22"/>
              </w:rPr>
            </w:pPr>
            <w:r w:rsidRPr="00241BB8">
              <w:rPr>
                <w:rFonts w:cs="Arial"/>
                <w:b/>
                <w:color w:val="000000"/>
                <w:sz w:val="22"/>
                <w:szCs w:val="22"/>
              </w:rPr>
              <w:t xml:space="preserve"> IMPACTO MEDIOAMBIENTAL O SOBRE EL PATRIMONIO CULTURAL DE LA NACIÓN </w:t>
            </w:r>
            <w:r w:rsidR="00D05B67" w:rsidRPr="00241BB8">
              <w:rPr>
                <w:rFonts w:cs="Arial"/>
                <w:color w:val="000000"/>
                <w:sz w:val="22"/>
                <w:szCs w:val="22"/>
              </w:rPr>
              <w:t>(Si se requiere)</w:t>
            </w:r>
          </w:p>
          <w:p w14:paraId="4C14822C" w14:textId="77777777" w:rsidR="00D05B67" w:rsidRPr="00241BB8" w:rsidRDefault="00D05B67" w:rsidP="00241BB8">
            <w:pPr>
              <w:jc w:val="both"/>
              <w:rPr>
                <w:rFonts w:cs="Arial"/>
                <w:i/>
                <w:color w:val="808080"/>
                <w:sz w:val="22"/>
                <w:szCs w:val="22"/>
              </w:rPr>
            </w:pPr>
          </w:p>
          <w:p w14:paraId="631FBE66" w14:textId="66B0708F" w:rsidR="00CF0BE3" w:rsidRPr="00241BB8" w:rsidRDefault="00CF0BE3" w:rsidP="00241BB8">
            <w:pPr>
              <w:jc w:val="both"/>
              <w:rPr>
                <w:rFonts w:cs="Arial"/>
                <w:b/>
                <w:bCs/>
                <w:color w:val="000000"/>
                <w:sz w:val="22"/>
                <w:szCs w:val="22"/>
              </w:rPr>
            </w:pPr>
            <w:r w:rsidRPr="00241BB8">
              <w:rPr>
                <w:rFonts w:cs="Arial"/>
                <w:bCs/>
                <w:color w:val="000000"/>
                <w:sz w:val="22"/>
                <w:szCs w:val="22"/>
              </w:rPr>
              <w:t>Las disposiciones contenidas en la resolución compilatoria a expedir no generan impacto medioambiental o sobre el patrimonio cultural de la Nación</w:t>
            </w:r>
          </w:p>
          <w:p w14:paraId="49D2B544" w14:textId="77777777" w:rsidR="00696582" w:rsidRPr="00241BB8" w:rsidRDefault="00696582" w:rsidP="00241BB8">
            <w:pPr>
              <w:jc w:val="both"/>
              <w:rPr>
                <w:rFonts w:cs="Arial"/>
                <w:b/>
                <w:color w:val="000000"/>
                <w:sz w:val="22"/>
                <w:szCs w:val="22"/>
              </w:rPr>
            </w:pPr>
          </w:p>
        </w:tc>
      </w:tr>
      <w:tr w:rsidR="00DF60FD" w:rsidRPr="00241BB8"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77777777" w:rsidR="00D05B67" w:rsidRPr="00241BB8" w:rsidRDefault="00D05B67" w:rsidP="00241BB8">
            <w:pPr>
              <w:numPr>
                <w:ilvl w:val="0"/>
                <w:numId w:val="45"/>
              </w:numPr>
              <w:jc w:val="both"/>
              <w:rPr>
                <w:rFonts w:cs="Arial"/>
                <w:sz w:val="22"/>
                <w:szCs w:val="22"/>
              </w:rPr>
            </w:pPr>
            <w:r w:rsidRPr="00241BB8">
              <w:rPr>
                <w:rFonts w:cs="Arial"/>
                <w:b/>
                <w:sz w:val="22"/>
                <w:szCs w:val="22"/>
              </w:rPr>
              <w:t>ESTUDIOS TÉCNICOS QUE SUSTENTEN EL PROYECTO NORMATIVO</w:t>
            </w:r>
            <w:r w:rsidRPr="00241BB8">
              <w:rPr>
                <w:rFonts w:cs="Arial"/>
                <w:sz w:val="22"/>
                <w:szCs w:val="22"/>
              </w:rPr>
              <w:t xml:space="preserve"> (Si cuenta con ellos)</w:t>
            </w:r>
            <w:r w:rsidR="00696582" w:rsidRPr="00241BB8">
              <w:rPr>
                <w:rFonts w:cs="Arial"/>
                <w:sz w:val="22"/>
                <w:szCs w:val="22"/>
              </w:rPr>
              <w:t xml:space="preserve"> </w:t>
            </w:r>
          </w:p>
        </w:tc>
      </w:tr>
      <w:tr w:rsidR="00DF60FD" w:rsidRPr="00241BB8"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77777777" w:rsidR="00843EFF" w:rsidRPr="00241BB8" w:rsidRDefault="00843EFF" w:rsidP="00241BB8">
            <w:pPr>
              <w:rPr>
                <w:rFonts w:cs="Arial"/>
                <w:b/>
                <w:color w:val="000000"/>
                <w:sz w:val="22"/>
                <w:szCs w:val="22"/>
              </w:rPr>
            </w:pPr>
          </w:p>
        </w:tc>
      </w:tr>
      <w:tr w:rsidR="00DF60FD" w:rsidRPr="00241BB8" w14:paraId="06548953"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66686F6" w14:textId="77777777" w:rsidR="00DF60FD" w:rsidRPr="00241BB8" w:rsidRDefault="00DF60FD" w:rsidP="00241BB8">
            <w:pPr>
              <w:jc w:val="both"/>
              <w:rPr>
                <w:rFonts w:cs="Arial"/>
                <w:sz w:val="22"/>
                <w:szCs w:val="22"/>
              </w:rPr>
            </w:pPr>
          </w:p>
        </w:tc>
      </w:tr>
      <w:tr w:rsidR="00DF60FD" w:rsidRPr="00241BB8" w14:paraId="48EE83C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7424F596" w14:textId="77777777" w:rsidR="00DF60FD" w:rsidRPr="00241BB8" w:rsidRDefault="00DF60FD" w:rsidP="00241BB8">
            <w:pPr>
              <w:rPr>
                <w:rFonts w:cs="Arial"/>
                <w:color w:val="996633"/>
                <w:sz w:val="22"/>
                <w:szCs w:val="22"/>
              </w:rPr>
            </w:pPr>
          </w:p>
        </w:tc>
      </w:tr>
      <w:tr w:rsidR="00DF60FD" w:rsidRPr="00241BB8" w14:paraId="73EBA1B1"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01429F73" w14:textId="77777777" w:rsidR="00DF60FD" w:rsidRPr="00241BB8" w:rsidRDefault="00DF60FD" w:rsidP="00241BB8">
            <w:pPr>
              <w:jc w:val="both"/>
              <w:rPr>
                <w:rFonts w:cs="Arial"/>
                <w:sz w:val="22"/>
                <w:szCs w:val="22"/>
              </w:rPr>
            </w:pPr>
          </w:p>
        </w:tc>
      </w:tr>
      <w:tr w:rsidR="00DF60FD" w:rsidRPr="00241BB8" w14:paraId="6D3320A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31A6F5DE" w14:textId="77777777" w:rsidR="00DF60FD" w:rsidRPr="00241BB8" w:rsidRDefault="00DF60FD" w:rsidP="00241BB8">
            <w:pPr>
              <w:jc w:val="center"/>
              <w:rPr>
                <w:rFonts w:cs="Arial"/>
                <w:sz w:val="22"/>
                <w:szCs w:val="22"/>
              </w:rPr>
            </w:pPr>
          </w:p>
        </w:tc>
      </w:tr>
      <w:tr w:rsidR="00DF60FD" w:rsidRPr="00241BB8" w14:paraId="24E12D6C"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79CE03" w14:textId="77777777" w:rsidR="00DF60FD" w:rsidRPr="00241BB8" w:rsidRDefault="00DF60FD" w:rsidP="00241BB8">
            <w:pPr>
              <w:jc w:val="center"/>
              <w:rPr>
                <w:rFonts w:cs="Arial"/>
                <w:sz w:val="22"/>
                <w:szCs w:val="22"/>
                <w:u w:val="single"/>
              </w:rPr>
            </w:pPr>
          </w:p>
        </w:tc>
      </w:tr>
      <w:tr w:rsidR="00DF60FD" w:rsidRPr="00241BB8"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241BB8" w:rsidRDefault="00DF60FD" w:rsidP="00241BB8">
            <w:pPr>
              <w:jc w:val="center"/>
              <w:rPr>
                <w:rFonts w:cs="Arial"/>
                <w:sz w:val="22"/>
                <w:szCs w:val="22"/>
              </w:rPr>
            </w:pPr>
            <w:r w:rsidRPr="00241BB8">
              <w:rPr>
                <w:rFonts w:cs="Arial"/>
                <w:b/>
                <w:sz w:val="22"/>
                <w:szCs w:val="22"/>
              </w:rPr>
              <w:t>ANEXOS</w:t>
            </w:r>
            <w:r w:rsidR="00D05B67" w:rsidRPr="00241BB8">
              <w:rPr>
                <w:rFonts w:cs="Arial"/>
                <w:b/>
                <w:sz w:val="22"/>
                <w:szCs w:val="22"/>
              </w:rPr>
              <w:t>:</w:t>
            </w:r>
            <w:r w:rsidR="00696582" w:rsidRPr="00241BB8">
              <w:rPr>
                <w:rFonts w:cs="Arial"/>
                <w:sz w:val="22"/>
                <w:szCs w:val="22"/>
              </w:rPr>
              <w:t xml:space="preserve"> </w:t>
            </w:r>
          </w:p>
        </w:tc>
      </w:tr>
      <w:tr w:rsidR="00CF0BE3" w:rsidRPr="00241BB8"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CF0BE3" w:rsidRPr="00241BB8" w:rsidRDefault="00CF0BE3" w:rsidP="00241BB8">
            <w:pPr>
              <w:jc w:val="both"/>
              <w:rPr>
                <w:rFonts w:cs="Arial"/>
                <w:sz w:val="22"/>
                <w:szCs w:val="22"/>
              </w:rPr>
            </w:pPr>
            <w:r w:rsidRPr="00241BB8">
              <w:rPr>
                <w:rFonts w:cs="Arial"/>
                <w:sz w:val="22"/>
                <w:szCs w:val="22"/>
              </w:rPr>
              <w:t xml:space="preserve">Certificación de cumplimiento de requisitos de consulta, publicidad y de incorporación en la agenda regulatoria </w:t>
            </w:r>
          </w:p>
          <w:p w14:paraId="15E83C89" w14:textId="77777777" w:rsidR="00CF0BE3" w:rsidRPr="00241BB8" w:rsidRDefault="00CF0BE3" w:rsidP="00241BB8">
            <w:pPr>
              <w:jc w:val="both"/>
              <w:rPr>
                <w:rFonts w:cs="Arial"/>
                <w:i/>
                <w:color w:val="808080"/>
                <w:sz w:val="22"/>
                <w:szCs w:val="22"/>
              </w:rPr>
            </w:pPr>
            <w:r w:rsidRPr="00241BB8">
              <w:rPr>
                <w:rFonts w:cs="Arial"/>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7C03180D"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r w:rsidR="00CF0BE3" w:rsidRPr="00241BB8"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CF0BE3" w:rsidRPr="00241BB8" w:rsidRDefault="00CF0BE3" w:rsidP="00241BB8">
            <w:pPr>
              <w:jc w:val="both"/>
              <w:rPr>
                <w:rFonts w:cs="Arial"/>
                <w:sz w:val="22"/>
                <w:szCs w:val="22"/>
              </w:rPr>
            </w:pPr>
            <w:r w:rsidRPr="00241BB8">
              <w:rPr>
                <w:rFonts w:cs="Arial"/>
                <w:sz w:val="22"/>
                <w:szCs w:val="22"/>
              </w:rPr>
              <w:t>Concepto(s) de Ministerio de Comercio, Industria y Turismo</w:t>
            </w:r>
          </w:p>
          <w:p w14:paraId="270C7AB5" w14:textId="77777777" w:rsidR="00CF0BE3" w:rsidRPr="00241BB8" w:rsidRDefault="00CF0BE3" w:rsidP="00241BB8">
            <w:pPr>
              <w:jc w:val="both"/>
              <w:rPr>
                <w:rFonts w:cs="Arial"/>
                <w:i/>
                <w:color w:val="808080"/>
                <w:sz w:val="22"/>
                <w:szCs w:val="22"/>
              </w:rPr>
            </w:pPr>
            <w:r w:rsidRPr="00241BB8">
              <w:rPr>
                <w:rFonts w:cs="Arial"/>
                <w:i/>
                <w:color w:val="808080"/>
                <w:sz w:val="22"/>
                <w:szCs w:val="22"/>
              </w:rPr>
              <w:lastRenderedPageBreak/>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35DE415C" w:rsidR="00CF0BE3" w:rsidRPr="00241BB8" w:rsidRDefault="00CF0BE3" w:rsidP="00241BB8">
            <w:pPr>
              <w:jc w:val="center"/>
              <w:rPr>
                <w:rFonts w:cs="Arial"/>
                <w:color w:val="000000" w:themeColor="text1"/>
                <w:sz w:val="22"/>
                <w:szCs w:val="22"/>
              </w:rPr>
            </w:pPr>
            <w:r w:rsidRPr="00241BB8">
              <w:rPr>
                <w:rFonts w:cs="Arial"/>
                <w:i/>
                <w:color w:val="000000" w:themeColor="text1"/>
                <w:sz w:val="22"/>
                <w:szCs w:val="22"/>
              </w:rPr>
              <w:lastRenderedPageBreak/>
              <w:t>N/A</w:t>
            </w:r>
          </w:p>
        </w:tc>
      </w:tr>
      <w:tr w:rsidR="005F30C3" w:rsidRPr="00241BB8"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Pr="00241BB8" w:rsidRDefault="005F30C3" w:rsidP="00241BB8">
            <w:pPr>
              <w:jc w:val="both"/>
              <w:rPr>
                <w:rFonts w:cs="Arial"/>
                <w:sz w:val="22"/>
                <w:szCs w:val="22"/>
              </w:rPr>
            </w:pPr>
            <w:r w:rsidRPr="00241BB8">
              <w:rPr>
                <w:rFonts w:cs="Arial"/>
                <w:sz w:val="22"/>
                <w:szCs w:val="22"/>
              </w:rPr>
              <w:t xml:space="preserve">Informe de observaciones y respuestas </w:t>
            </w:r>
          </w:p>
          <w:p w14:paraId="4E1961C8" w14:textId="77777777" w:rsidR="005F30C3" w:rsidRPr="00241BB8" w:rsidRDefault="005F30C3" w:rsidP="00241BB8">
            <w:pPr>
              <w:jc w:val="both"/>
              <w:rPr>
                <w:rFonts w:cs="Arial"/>
                <w:i/>
                <w:color w:val="808080"/>
                <w:sz w:val="22"/>
                <w:szCs w:val="22"/>
              </w:rPr>
            </w:pPr>
            <w:r w:rsidRPr="00241BB8">
              <w:rPr>
                <w:rFonts w:cs="Arial"/>
                <w:i/>
                <w:color w:val="808080"/>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0C519ECC" w:rsidR="005F30C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X</w:t>
            </w:r>
          </w:p>
        </w:tc>
      </w:tr>
      <w:tr w:rsidR="00CF0BE3" w:rsidRPr="00241BB8"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CF0BE3" w:rsidRPr="00241BB8" w:rsidRDefault="00CF0BE3" w:rsidP="00241BB8">
            <w:pPr>
              <w:jc w:val="both"/>
              <w:rPr>
                <w:rFonts w:cs="Arial"/>
                <w:sz w:val="22"/>
                <w:szCs w:val="22"/>
              </w:rPr>
            </w:pPr>
            <w:r w:rsidRPr="00241BB8">
              <w:rPr>
                <w:rFonts w:cs="Arial"/>
                <w:sz w:val="22"/>
                <w:szCs w:val="22"/>
              </w:rPr>
              <w:t>Concepto de Abogacía de la Competencia de la Superintendencia de Industria y Comercio</w:t>
            </w:r>
          </w:p>
          <w:p w14:paraId="364EFEA6" w14:textId="77777777" w:rsidR="00CF0BE3" w:rsidRPr="00241BB8" w:rsidRDefault="00CF0BE3" w:rsidP="00241BB8">
            <w:pPr>
              <w:jc w:val="both"/>
              <w:rPr>
                <w:rFonts w:cs="Arial"/>
                <w:i/>
                <w:color w:val="808080"/>
                <w:sz w:val="22"/>
                <w:szCs w:val="22"/>
              </w:rPr>
            </w:pPr>
            <w:r w:rsidRPr="00241BB8">
              <w:rPr>
                <w:rFonts w:cs="Arial"/>
                <w:i/>
                <w:color w:val="808080"/>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4957846A"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r w:rsidR="00CF0BE3" w:rsidRPr="00241BB8"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CF0BE3" w:rsidRPr="00241BB8" w:rsidRDefault="00CF0BE3" w:rsidP="00241BB8">
            <w:pPr>
              <w:jc w:val="both"/>
              <w:rPr>
                <w:rFonts w:cs="Arial"/>
                <w:sz w:val="22"/>
                <w:szCs w:val="22"/>
              </w:rPr>
            </w:pPr>
            <w:r w:rsidRPr="00241BB8">
              <w:rPr>
                <w:rFonts w:cs="Arial"/>
                <w:sz w:val="22"/>
                <w:szCs w:val="22"/>
              </w:rPr>
              <w:t>Concepto de aprobación nuevos trámites del Departamento Administrativo de la Función Pública</w:t>
            </w:r>
          </w:p>
          <w:p w14:paraId="1DFA88C0" w14:textId="77777777" w:rsidR="00CF0BE3" w:rsidRPr="00241BB8" w:rsidRDefault="00CF0BE3" w:rsidP="00241BB8">
            <w:pPr>
              <w:jc w:val="both"/>
              <w:rPr>
                <w:rFonts w:cs="Arial"/>
                <w:sz w:val="22"/>
                <w:szCs w:val="22"/>
              </w:rPr>
            </w:pPr>
            <w:r w:rsidRPr="00241BB8">
              <w:rPr>
                <w:rFonts w:cs="Arial"/>
                <w:i/>
                <w:color w:val="808080"/>
                <w:sz w:val="22"/>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67A58C1B"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r w:rsidR="00CF0BE3" w:rsidRPr="00241BB8"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CF0BE3" w:rsidRPr="00241BB8" w:rsidRDefault="00CF0BE3" w:rsidP="00241BB8">
            <w:pPr>
              <w:jc w:val="both"/>
              <w:rPr>
                <w:rFonts w:cs="Arial"/>
                <w:sz w:val="22"/>
                <w:szCs w:val="22"/>
              </w:rPr>
            </w:pPr>
            <w:r w:rsidRPr="00241BB8">
              <w:rPr>
                <w:rFonts w:cs="Arial"/>
                <w:sz w:val="22"/>
                <w:szCs w:val="22"/>
              </w:rPr>
              <w:t xml:space="preserve">Otro </w:t>
            </w:r>
          </w:p>
          <w:p w14:paraId="73A3BDE5" w14:textId="77777777" w:rsidR="00CF0BE3" w:rsidRPr="00241BB8" w:rsidRDefault="00CF0BE3" w:rsidP="00241BB8">
            <w:pPr>
              <w:jc w:val="both"/>
              <w:rPr>
                <w:rFonts w:cs="Arial"/>
                <w:sz w:val="22"/>
                <w:szCs w:val="22"/>
              </w:rPr>
            </w:pPr>
            <w:r w:rsidRPr="00241BB8">
              <w:rPr>
                <w:rFonts w:cs="Arial"/>
                <w:i/>
                <w:color w:val="808080"/>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6BB8FF30" w14:textId="003907FF"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bl>
    <w:p w14:paraId="56E6101F" w14:textId="77777777" w:rsidR="00301DC2" w:rsidRPr="00241BB8" w:rsidRDefault="00301DC2" w:rsidP="00241BB8">
      <w:pPr>
        <w:ind w:right="-377"/>
        <w:jc w:val="both"/>
        <w:rPr>
          <w:rFonts w:cs="Arial"/>
          <w:sz w:val="22"/>
          <w:szCs w:val="22"/>
        </w:rPr>
      </w:pPr>
    </w:p>
    <w:p w14:paraId="53055E4F" w14:textId="77777777" w:rsidR="00B66D03" w:rsidRPr="00241BB8" w:rsidRDefault="000B30A6" w:rsidP="00241BB8">
      <w:pPr>
        <w:ind w:left="-1276" w:right="-377" w:firstLine="283"/>
        <w:jc w:val="both"/>
        <w:rPr>
          <w:rFonts w:cs="Arial"/>
          <w:b/>
          <w:sz w:val="22"/>
          <w:szCs w:val="22"/>
        </w:rPr>
      </w:pPr>
      <w:r w:rsidRPr="00241BB8">
        <w:rPr>
          <w:rFonts w:cs="Arial"/>
          <w:b/>
          <w:sz w:val="22"/>
          <w:szCs w:val="22"/>
        </w:rPr>
        <w:t>Aprobó</w:t>
      </w:r>
      <w:r w:rsidR="00CB4D37" w:rsidRPr="00241BB8">
        <w:rPr>
          <w:rFonts w:cs="Arial"/>
          <w:b/>
          <w:sz w:val="22"/>
          <w:szCs w:val="22"/>
        </w:rPr>
        <w:t>:</w:t>
      </w:r>
    </w:p>
    <w:p w14:paraId="0FFFEFDE" w14:textId="77777777" w:rsidR="00D05B67" w:rsidRPr="00241BB8" w:rsidRDefault="00D05B67" w:rsidP="00241BB8">
      <w:pPr>
        <w:pStyle w:val="Listavistosa-nfasis11"/>
        <w:spacing w:after="0" w:line="240" w:lineRule="auto"/>
        <w:jc w:val="both"/>
        <w:rPr>
          <w:rFonts w:ascii="Arial" w:hAnsi="Arial" w:cs="Arial"/>
          <w:b/>
        </w:rPr>
      </w:pPr>
      <w:r w:rsidRPr="00241BB8">
        <w:rPr>
          <w:rFonts w:ascii="Arial" w:hAnsi="Arial" w:cs="Arial"/>
          <w:b/>
        </w:rPr>
        <w:t>_________________</w:t>
      </w:r>
    </w:p>
    <w:p w14:paraId="68A1D217" w14:textId="655DB44B" w:rsidR="00D05B67" w:rsidRPr="00241BB8" w:rsidRDefault="00CF0BE3" w:rsidP="00241BB8">
      <w:pPr>
        <w:pStyle w:val="Listavistosa-nfasis11"/>
        <w:spacing w:after="0" w:line="240" w:lineRule="auto"/>
        <w:rPr>
          <w:rFonts w:ascii="Arial" w:hAnsi="Arial" w:cs="Arial"/>
          <w:b/>
        </w:rPr>
      </w:pPr>
      <w:r w:rsidRPr="00241BB8">
        <w:rPr>
          <w:rFonts w:ascii="Arial" w:hAnsi="Arial" w:cs="Arial"/>
          <w:b/>
        </w:rPr>
        <w:t>MARÍA CECILIA LONDOÑO SALAZAR</w:t>
      </w:r>
    </w:p>
    <w:p w14:paraId="19FB06C6" w14:textId="112390B7" w:rsidR="00CF0BE3" w:rsidRPr="00241BB8" w:rsidRDefault="00CF0BE3" w:rsidP="00241BB8">
      <w:pPr>
        <w:pStyle w:val="Listavistosa-nfasis11"/>
        <w:spacing w:after="0" w:line="240" w:lineRule="auto"/>
        <w:rPr>
          <w:rFonts w:ascii="Arial" w:hAnsi="Arial" w:cs="Arial"/>
          <w:b/>
        </w:rPr>
      </w:pPr>
      <w:r w:rsidRPr="00241BB8">
        <w:rPr>
          <w:rFonts w:ascii="Arial" w:hAnsi="Arial" w:cs="Arial"/>
          <w:b/>
        </w:rPr>
        <w:t>Coordinadora GIT Fortalecimiento al Sistema de Medios Públicos.</w:t>
      </w:r>
    </w:p>
    <w:p w14:paraId="2305B046" w14:textId="77777777" w:rsidR="00D05B67" w:rsidRPr="00241BB8" w:rsidRDefault="00D05B67" w:rsidP="00241BB8">
      <w:pPr>
        <w:pStyle w:val="Listavistosa-nfasis11"/>
        <w:spacing w:after="0" w:line="240" w:lineRule="auto"/>
        <w:rPr>
          <w:rFonts w:ascii="Arial" w:hAnsi="Arial" w:cs="Arial"/>
          <w:b/>
        </w:rPr>
      </w:pPr>
    </w:p>
    <w:p w14:paraId="68734A2A" w14:textId="77777777" w:rsidR="00CF0BE3" w:rsidRPr="00241BB8" w:rsidRDefault="00CF0BE3" w:rsidP="00241BB8">
      <w:pPr>
        <w:pStyle w:val="Listavistosa-nfasis11"/>
        <w:spacing w:after="0" w:line="240" w:lineRule="auto"/>
        <w:jc w:val="both"/>
        <w:rPr>
          <w:rFonts w:ascii="Arial" w:hAnsi="Arial" w:cs="Arial"/>
          <w:b/>
          <w:u w:val="single"/>
        </w:rPr>
      </w:pPr>
      <w:r w:rsidRPr="00241BB8">
        <w:rPr>
          <w:rFonts w:ascii="Arial" w:hAnsi="Arial" w:cs="Arial"/>
          <w:b/>
          <w:u w:val="single"/>
        </w:rPr>
        <w:t>____________________________________</w:t>
      </w:r>
    </w:p>
    <w:p w14:paraId="29F127B1" w14:textId="38AC21CA" w:rsidR="00CF0BE3" w:rsidRPr="00241BB8" w:rsidRDefault="007F3DFB" w:rsidP="00241BB8">
      <w:pPr>
        <w:pStyle w:val="Listavistosa-nfasis11"/>
        <w:spacing w:after="0" w:line="240" w:lineRule="auto"/>
        <w:jc w:val="both"/>
        <w:rPr>
          <w:rFonts w:ascii="Arial" w:hAnsi="Arial" w:cs="Arial"/>
          <w:b/>
        </w:rPr>
      </w:pPr>
      <w:r>
        <w:rPr>
          <w:rFonts w:ascii="Arial" w:hAnsi="Arial" w:cs="Arial"/>
          <w:b/>
        </w:rPr>
        <w:t>RUBY RUTH RAMIREZ MEDINA</w:t>
      </w:r>
    </w:p>
    <w:p w14:paraId="238C8380" w14:textId="2AA3FCFA" w:rsidR="00CF0BE3" w:rsidRPr="00241BB8" w:rsidRDefault="00CF0BE3" w:rsidP="00241BB8">
      <w:pPr>
        <w:pStyle w:val="Listavistosa-nfasis11"/>
        <w:spacing w:after="0" w:line="240" w:lineRule="auto"/>
        <w:jc w:val="both"/>
        <w:rPr>
          <w:rFonts w:ascii="Arial" w:hAnsi="Arial" w:cs="Arial"/>
          <w:b/>
        </w:rPr>
      </w:pPr>
      <w:r w:rsidRPr="00241BB8">
        <w:rPr>
          <w:rFonts w:ascii="Arial" w:hAnsi="Arial" w:cs="Arial"/>
          <w:b/>
        </w:rPr>
        <w:t>Director</w:t>
      </w:r>
      <w:r w:rsidR="007F3DFB">
        <w:rPr>
          <w:rFonts w:ascii="Arial" w:hAnsi="Arial" w:cs="Arial"/>
          <w:b/>
        </w:rPr>
        <w:t>a</w:t>
      </w:r>
      <w:r w:rsidRPr="00241BB8">
        <w:rPr>
          <w:rFonts w:ascii="Arial" w:hAnsi="Arial" w:cs="Arial"/>
          <w:b/>
        </w:rPr>
        <w:t xml:space="preserve"> Jurídic</w:t>
      </w:r>
      <w:r w:rsidR="007F3DFB">
        <w:rPr>
          <w:rFonts w:ascii="Arial" w:hAnsi="Arial" w:cs="Arial"/>
          <w:b/>
        </w:rPr>
        <w:t>a</w:t>
      </w:r>
    </w:p>
    <w:p w14:paraId="01934125" w14:textId="77777777" w:rsidR="00E0174F" w:rsidRPr="00241BB8" w:rsidRDefault="00E0174F" w:rsidP="00241BB8">
      <w:pPr>
        <w:pStyle w:val="Listavistosa-nfasis11"/>
        <w:spacing w:after="0" w:line="240" w:lineRule="auto"/>
        <w:rPr>
          <w:rFonts w:ascii="Arial" w:hAnsi="Arial" w:cs="Arial"/>
          <w:b/>
        </w:rPr>
      </w:pPr>
    </w:p>
    <w:p w14:paraId="16D3ACBD" w14:textId="1C737A99" w:rsidR="006779DA" w:rsidRPr="00241BB8" w:rsidRDefault="006779DA" w:rsidP="00241BB8">
      <w:pPr>
        <w:pStyle w:val="Listavistosa-nfasis11"/>
        <w:spacing w:after="0" w:line="240" w:lineRule="auto"/>
        <w:rPr>
          <w:rFonts w:ascii="Arial" w:hAnsi="Arial" w:cs="Arial"/>
          <w:b/>
          <w:color w:val="FF0000"/>
        </w:rPr>
      </w:pPr>
    </w:p>
    <w:sectPr w:rsidR="006779DA" w:rsidRPr="00241BB8" w:rsidSect="00F77DB8">
      <w:headerReference w:type="default" r:id="rId16"/>
      <w:footerReference w:type="default" r:id="rId17"/>
      <w:headerReference w:type="first" r:id="rId18"/>
      <w:footerReference w:type="first" r:id="rId19"/>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0B21" w14:textId="77777777" w:rsidR="00482532" w:rsidRDefault="00482532">
      <w:r>
        <w:separator/>
      </w:r>
    </w:p>
  </w:endnote>
  <w:endnote w:type="continuationSeparator" w:id="0">
    <w:p w14:paraId="50452346" w14:textId="77777777" w:rsidR="00482532" w:rsidRDefault="0048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altName w:val="Calibri"/>
    <w:panose1 w:val="00000500000000000000"/>
    <w:charset w:val="4D"/>
    <w:family w:val="auto"/>
    <w:notTrueType/>
    <w:pitch w:val="variable"/>
    <w:sig w:usb0="2000020F" w:usb1="00000003"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A484" w14:textId="246E14A8" w:rsidR="00F77DB8" w:rsidRDefault="00F77DB8" w:rsidP="00F77DB8">
    <w:pPr>
      <w:pStyle w:val="Footer"/>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Footer"/>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Footer"/>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&#13;&#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Footer"/>
      <w:ind w:left="-851"/>
      <w:rPr>
        <w:sz w:val="18"/>
        <w:szCs w:val="18"/>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956" w14:textId="13516AA7" w:rsidR="00AF569A" w:rsidRDefault="00F77DB8" w:rsidP="003650D5">
    <w:pPr>
      <w:pStyle w:val="Footer"/>
      <w:ind w:left="-709"/>
      <w:rPr>
        <w:rFonts w:ascii="Calibri" w:hAnsi="Calibri" w:cs="Calibri"/>
        <w:color w:val="000000"/>
      </w:rPr>
    </w:pPr>
    <w:r>
      <w:rPr>
        <w:noProof/>
      </w:rPr>
      <w:tab/>
    </w:r>
    <w:r>
      <w:rPr>
        <w:noProof/>
      </w:rPr>
      <w:tab/>
    </w:r>
  </w:p>
  <w:p w14:paraId="7E9BB38D" w14:textId="6A6E08F1" w:rsidR="00F77DB8" w:rsidRDefault="00F77DB8" w:rsidP="00F77DB8">
    <w:pPr>
      <w:pStyle w:val="Footer"/>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Footer"/>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9E00" w14:textId="77777777" w:rsidR="00482532" w:rsidRDefault="00482532">
      <w:r>
        <w:separator/>
      </w:r>
    </w:p>
  </w:footnote>
  <w:footnote w:type="continuationSeparator" w:id="0">
    <w:p w14:paraId="6AE9861F" w14:textId="77777777" w:rsidR="00482532" w:rsidRDefault="0048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03BF" w14:textId="77777777" w:rsidR="00F07A7D" w:rsidRDefault="00F07A7D">
    <w:pPr>
      <w:pStyle w:val="Header"/>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tcPr>
        <w:p w14:paraId="09BB7B8D" w14:textId="63AB4FE4" w:rsidR="008C703D" w:rsidRPr="00366F75" w:rsidRDefault="009946C7" w:rsidP="009946C7">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24CBC0" wp14:editId="24A94A23">
                <wp:extent cx="478790" cy="857250"/>
                <wp:effectExtent l="0" t="0" r="0" b="0"/>
                <wp:docPr id="1892945352"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75" w:type="dxa"/>
          <w:vAlign w:val="center"/>
        </w:tcPr>
        <w:p w14:paraId="787F766F" w14:textId="77777777" w:rsidR="008C703D" w:rsidRDefault="008C703D" w:rsidP="001447C1">
          <w:pPr>
            <w:pStyle w:val="Heading2"/>
            <w:ind w:left="72" w:right="72"/>
          </w:pPr>
          <w:r w:rsidRPr="00FD3D04">
            <w:rPr>
              <w:rFonts w:cs="Arial"/>
              <w:bCs/>
              <w:color w:val="000000"/>
              <w:sz w:val="24"/>
              <w:szCs w:val="24"/>
            </w:rPr>
            <w:t>FORMATO MEMORIA JUSTIFICATIVA</w:t>
          </w:r>
        </w:p>
      </w:tc>
      <w:tc>
        <w:tcPr>
          <w:tcW w:w="1449" w:type="dxa"/>
          <w:vAlign w:val="center"/>
        </w:tcPr>
        <w:p w14:paraId="4CEF7297" w14:textId="7E6064B0" w:rsidR="008C703D" w:rsidRDefault="00B237AC" w:rsidP="008C703D">
          <w:pPr>
            <w:pStyle w:val="Heading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tcPr>
        <w:p w14:paraId="69C28DE1" w14:textId="716EAEEE" w:rsidR="008C703D" w:rsidRPr="00366F75" w:rsidRDefault="002B5285"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8C703D" w:rsidRDefault="008C703D" w:rsidP="00FD3D04">
          <w:pPr>
            <w:pStyle w:val="Heading2"/>
            <w:ind w:left="72" w:right="72"/>
          </w:pPr>
          <w:r w:rsidRPr="00FD3D04">
            <w:rPr>
              <w:rFonts w:cs="Arial"/>
              <w:bCs/>
              <w:color w:val="000000"/>
              <w:sz w:val="24"/>
              <w:szCs w:val="24"/>
            </w:rPr>
            <w:t>FORMATO MEMORIA JUSTIFICATIVA</w:t>
          </w:r>
        </w:p>
      </w:tc>
      <w:tc>
        <w:tcPr>
          <w:tcW w:w="1979" w:type="dxa"/>
          <w:vAlign w:val="center"/>
        </w:tcPr>
        <w:p w14:paraId="471C3705" w14:textId="1AC9FB15" w:rsidR="008C703D" w:rsidRDefault="00B237AC" w:rsidP="008C703D">
          <w:pPr>
            <w:pStyle w:val="Heading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8D6"/>
    <w:multiLevelType w:val="hybridMultilevel"/>
    <w:tmpl w:val="3EB0521C"/>
    <w:lvl w:ilvl="0" w:tplc="87484B76">
      <w:start w:val="1"/>
      <w:numFmt w:val="bullet"/>
      <w:lvlText w:val="•"/>
      <w:lvlJc w:val="left"/>
      <w:pPr>
        <w:tabs>
          <w:tab w:val="num" w:pos="720"/>
        </w:tabs>
        <w:ind w:left="720" w:hanging="360"/>
      </w:pPr>
      <w:rPr>
        <w:rFonts w:ascii="Arial" w:hAnsi="Arial" w:hint="default"/>
      </w:rPr>
    </w:lvl>
    <w:lvl w:ilvl="1" w:tplc="6FCC758A" w:tentative="1">
      <w:start w:val="1"/>
      <w:numFmt w:val="bullet"/>
      <w:lvlText w:val="•"/>
      <w:lvlJc w:val="left"/>
      <w:pPr>
        <w:tabs>
          <w:tab w:val="num" w:pos="1440"/>
        </w:tabs>
        <w:ind w:left="1440" w:hanging="360"/>
      </w:pPr>
      <w:rPr>
        <w:rFonts w:ascii="Arial" w:hAnsi="Arial" w:hint="default"/>
      </w:rPr>
    </w:lvl>
    <w:lvl w:ilvl="2" w:tplc="C0EEE12C" w:tentative="1">
      <w:start w:val="1"/>
      <w:numFmt w:val="bullet"/>
      <w:lvlText w:val="•"/>
      <w:lvlJc w:val="left"/>
      <w:pPr>
        <w:tabs>
          <w:tab w:val="num" w:pos="2160"/>
        </w:tabs>
        <w:ind w:left="2160" w:hanging="360"/>
      </w:pPr>
      <w:rPr>
        <w:rFonts w:ascii="Arial" w:hAnsi="Arial" w:hint="default"/>
      </w:rPr>
    </w:lvl>
    <w:lvl w:ilvl="3" w:tplc="D9E6C486" w:tentative="1">
      <w:start w:val="1"/>
      <w:numFmt w:val="bullet"/>
      <w:lvlText w:val="•"/>
      <w:lvlJc w:val="left"/>
      <w:pPr>
        <w:tabs>
          <w:tab w:val="num" w:pos="2880"/>
        </w:tabs>
        <w:ind w:left="2880" w:hanging="360"/>
      </w:pPr>
      <w:rPr>
        <w:rFonts w:ascii="Arial" w:hAnsi="Arial" w:hint="default"/>
      </w:rPr>
    </w:lvl>
    <w:lvl w:ilvl="4" w:tplc="C50AC68C" w:tentative="1">
      <w:start w:val="1"/>
      <w:numFmt w:val="bullet"/>
      <w:lvlText w:val="•"/>
      <w:lvlJc w:val="left"/>
      <w:pPr>
        <w:tabs>
          <w:tab w:val="num" w:pos="3600"/>
        </w:tabs>
        <w:ind w:left="3600" w:hanging="360"/>
      </w:pPr>
      <w:rPr>
        <w:rFonts w:ascii="Arial" w:hAnsi="Arial" w:hint="default"/>
      </w:rPr>
    </w:lvl>
    <w:lvl w:ilvl="5" w:tplc="6112497C" w:tentative="1">
      <w:start w:val="1"/>
      <w:numFmt w:val="bullet"/>
      <w:lvlText w:val="•"/>
      <w:lvlJc w:val="left"/>
      <w:pPr>
        <w:tabs>
          <w:tab w:val="num" w:pos="4320"/>
        </w:tabs>
        <w:ind w:left="4320" w:hanging="360"/>
      </w:pPr>
      <w:rPr>
        <w:rFonts w:ascii="Arial" w:hAnsi="Arial" w:hint="default"/>
      </w:rPr>
    </w:lvl>
    <w:lvl w:ilvl="6" w:tplc="AAFC0E58" w:tentative="1">
      <w:start w:val="1"/>
      <w:numFmt w:val="bullet"/>
      <w:lvlText w:val="•"/>
      <w:lvlJc w:val="left"/>
      <w:pPr>
        <w:tabs>
          <w:tab w:val="num" w:pos="5040"/>
        </w:tabs>
        <w:ind w:left="5040" w:hanging="360"/>
      </w:pPr>
      <w:rPr>
        <w:rFonts w:ascii="Arial" w:hAnsi="Arial" w:hint="default"/>
      </w:rPr>
    </w:lvl>
    <w:lvl w:ilvl="7" w:tplc="84203A7A" w:tentative="1">
      <w:start w:val="1"/>
      <w:numFmt w:val="bullet"/>
      <w:lvlText w:val="•"/>
      <w:lvlJc w:val="left"/>
      <w:pPr>
        <w:tabs>
          <w:tab w:val="num" w:pos="5760"/>
        </w:tabs>
        <w:ind w:left="5760" w:hanging="360"/>
      </w:pPr>
      <w:rPr>
        <w:rFonts w:ascii="Arial" w:hAnsi="Arial" w:hint="default"/>
      </w:rPr>
    </w:lvl>
    <w:lvl w:ilvl="8" w:tplc="CEF2B5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6"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5"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6"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2"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764210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235821">
    <w:abstractNumId w:val="7"/>
  </w:num>
  <w:num w:numId="3" w16cid:durableId="1114012470">
    <w:abstractNumId w:val="38"/>
  </w:num>
  <w:num w:numId="4" w16cid:durableId="1495878750">
    <w:abstractNumId w:val="8"/>
  </w:num>
  <w:num w:numId="5" w16cid:durableId="557397461">
    <w:abstractNumId w:val="17"/>
  </w:num>
  <w:num w:numId="6" w16cid:durableId="1452363128">
    <w:abstractNumId w:val="32"/>
  </w:num>
  <w:num w:numId="7" w16cid:durableId="2077507905">
    <w:abstractNumId w:val="9"/>
  </w:num>
  <w:num w:numId="8" w16cid:durableId="723873387">
    <w:abstractNumId w:val="18"/>
  </w:num>
  <w:num w:numId="9" w16cid:durableId="1274945304">
    <w:abstractNumId w:val="6"/>
  </w:num>
  <w:num w:numId="10" w16cid:durableId="1682467277">
    <w:abstractNumId w:val="22"/>
  </w:num>
  <w:num w:numId="11" w16cid:durableId="295569971">
    <w:abstractNumId w:val="14"/>
  </w:num>
  <w:num w:numId="12" w16cid:durableId="2041587928">
    <w:abstractNumId w:val="33"/>
  </w:num>
  <w:num w:numId="13" w16cid:durableId="1143962759">
    <w:abstractNumId w:val="39"/>
  </w:num>
  <w:num w:numId="14" w16cid:durableId="1810778263">
    <w:abstractNumId w:val="40"/>
  </w:num>
  <w:num w:numId="15" w16cid:durableId="203448388">
    <w:abstractNumId w:val="1"/>
  </w:num>
  <w:num w:numId="16" w16cid:durableId="330059455">
    <w:abstractNumId w:val="23"/>
  </w:num>
  <w:num w:numId="17" w16cid:durableId="1056273102">
    <w:abstractNumId w:val="4"/>
  </w:num>
  <w:num w:numId="18" w16cid:durableId="1453358682">
    <w:abstractNumId w:val="25"/>
  </w:num>
  <w:num w:numId="19" w16cid:durableId="1318607125">
    <w:abstractNumId w:val="28"/>
  </w:num>
  <w:num w:numId="20" w16cid:durableId="1493982206">
    <w:abstractNumId w:val="0"/>
  </w:num>
  <w:num w:numId="21" w16cid:durableId="1404764881">
    <w:abstractNumId w:val="11"/>
  </w:num>
  <w:num w:numId="22" w16cid:durableId="1919055955">
    <w:abstractNumId w:val="20"/>
  </w:num>
  <w:num w:numId="23" w16cid:durableId="83886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796250">
    <w:abstractNumId w:val="37"/>
  </w:num>
  <w:num w:numId="25" w16cid:durableId="1019695677">
    <w:abstractNumId w:val="12"/>
  </w:num>
  <w:num w:numId="26" w16cid:durableId="102964004">
    <w:abstractNumId w:val="30"/>
  </w:num>
  <w:num w:numId="27" w16cid:durableId="1155758818">
    <w:abstractNumId w:val="27"/>
  </w:num>
  <w:num w:numId="28" w16cid:durableId="2067606572">
    <w:abstractNumId w:val="41"/>
  </w:num>
  <w:num w:numId="29" w16cid:durableId="553347100">
    <w:abstractNumId w:val="1"/>
  </w:num>
  <w:num w:numId="30" w16cid:durableId="673649708">
    <w:abstractNumId w:val="43"/>
  </w:num>
  <w:num w:numId="31" w16cid:durableId="279722129">
    <w:abstractNumId w:val="24"/>
  </w:num>
  <w:num w:numId="32" w16cid:durableId="151995985">
    <w:abstractNumId w:val="36"/>
  </w:num>
  <w:num w:numId="33" w16cid:durableId="1907762944">
    <w:abstractNumId w:val="26"/>
  </w:num>
  <w:num w:numId="34" w16cid:durableId="299191416">
    <w:abstractNumId w:val="35"/>
  </w:num>
  <w:num w:numId="35" w16cid:durableId="525797091">
    <w:abstractNumId w:val="15"/>
  </w:num>
  <w:num w:numId="36" w16cid:durableId="467937655">
    <w:abstractNumId w:val="5"/>
  </w:num>
  <w:num w:numId="37" w16cid:durableId="966008284">
    <w:abstractNumId w:val="2"/>
  </w:num>
  <w:num w:numId="38" w16cid:durableId="1033503056">
    <w:abstractNumId w:val="29"/>
  </w:num>
  <w:num w:numId="39" w16cid:durableId="203366704">
    <w:abstractNumId w:val="34"/>
  </w:num>
  <w:num w:numId="40" w16cid:durableId="628248666">
    <w:abstractNumId w:val="16"/>
  </w:num>
  <w:num w:numId="41" w16cid:durableId="1310479933">
    <w:abstractNumId w:val="42"/>
  </w:num>
  <w:num w:numId="42" w16cid:durableId="1873301327">
    <w:abstractNumId w:val="19"/>
  </w:num>
  <w:num w:numId="43" w16cid:durableId="2075932516">
    <w:abstractNumId w:val="3"/>
  </w:num>
  <w:num w:numId="44" w16cid:durableId="1847743704">
    <w:abstractNumId w:val="13"/>
  </w:num>
  <w:num w:numId="45" w16cid:durableId="1570381999">
    <w:abstractNumId w:val="21"/>
  </w:num>
  <w:num w:numId="46" w16cid:durableId="1982299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3C42"/>
    <w:rsid w:val="00014D67"/>
    <w:rsid w:val="00016A94"/>
    <w:rsid w:val="00021FCC"/>
    <w:rsid w:val="00024F34"/>
    <w:rsid w:val="0002546A"/>
    <w:rsid w:val="00032CBF"/>
    <w:rsid w:val="0004205E"/>
    <w:rsid w:val="00047A6E"/>
    <w:rsid w:val="00050524"/>
    <w:rsid w:val="00066463"/>
    <w:rsid w:val="0007636F"/>
    <w:rsid w:val="00081CEE"/>
    <w:rsid w:val="00084B49"/>
    <w:rsid w:val="00086B16"/>
    <w:rsid w:val="00092C0A"/>
    <w:rsid w:val="00094D9F"/>
    <w:rsid w:val="000A35DA"/>
    <w:rsid w:val="000A3E34"/>
    <w:rsid w:val="000B30A6"/>
    <w:rsid w:val="000B39C5"/>
    <w:rsid w:val="000B50F1"/>
    <w:rsid w:val="000C41BE"/>
    <w:rsid w:val="000C614C"/>
    <w:rsid w:val="000C6C52"/>
    <w:rsid w:val="000D1904"/>
    <w:rsid w:val="000D2DA8"/>
    <w:rsid w:val="000D410A"/>
    <w:rsid w:val="000D512E"/>
    <w:rsid w:val="000E0152"/>
    <w:rsid w:val="000E1C6F"/>
    <w:rsid w:val="000E370D"/>
    <w:rsid w:val="000E65A4"/>
    <w:rsid w:val="00105533"/>
    <w:rsid w:val="001072FB"/>
    <w:rsid w:val="00112EF1"/>
    <w:rsid w:val="00116659"/>
    <w:rsid w:val="001175AA"/>
    <w:rsid w:val="00120F22"/>
    <w:rsid w:val="00125A3A"/>
    <w:rsid w:val="00126916"/>
    <w:rsid w:val="00126980"/>
    <w:rsid w:val="001303DD"/>
    <w:rsid w:val="001348DA"/>
    <w:rsid w:val="001365B5"/>
    <w:rsid w:val="00136CD0"/>
    <w:rsid w:val="0013737F"/>
    <w:rsid w:val="00142BF2"/>
    <w:rsid w:val="001447C1"/>
    <w:rsid w:val="00145BCA"/>
    <w:rsid w:val="0015216F"/>
    <w:rsid w:val="00153523"/>
    <w:rsid w:val="00157729"/>
    <w:rsid w:val="00164587"/>
    <w:rsid w:val="001665A3"/>
    <w:rsid w:val="00173095"/>
    <w:rsid w:val="001743EF"/>
    <w:rsid w:val="00174A31"/>
    <w:rsid w:val="00177232"/>
    <w:rsid w:val="00187186"/>
    <w:rsid w:val="001978EB"/>
    <w:rsid w:val="001A2AF1"/>
    <w:rsid w:val="001C013E"/>
    <w:rsid w:val="001D1743"/>
    <w:rsid w:val="001D17CF"/>
    <w:rsid w:val="001E2543"/>
    <w:rsid w:val="001E6C60"/>
    <w:rsid w:val="001F238A"/>
    <w:rsid w:val="002171A2"/>
    <w:rsid w:val="002217D1"/>
    <w:rsid w:val="002264B8"/>
    <w:rsid w:val="00235361"/>
    <w:rsid w:val="00236F62"/>
    <w:rsid w:val="00237D76"/>
    <w:rsid w:val="00241BB8"/>
    <w:rsid w:val="00251FCE"/>
    <w:rsid w:val="00252F13"/>
    <w:rsid w:val="00254313"/>
    <w:rsid w:val="0026513E"/>
    <w:rsid w:val="002729A5"/>
    <w:rsid w:val="00285FB5"/>
    <w:rsid w:val="002862C1"/>
    <w:rsid w:val="00286449"/>
    <w:rsid w:val="00287EC3"/>
    <w:rsid w:val="00293F29"/>
    <w:rsid w:val="002941D1"/>
    <w:rsid w:val="002A18A5"/>
    <w:rsid w:val="002A2A12"/>
    <w:rsid w:val="002B5285"/>
    <w:rsid w:val="002C05D0"/>
    <w:rsid w:val="002C6429"/>
    <w:rsid w:val="002D096D"/>
    <w:rsid w:val="002D11FE"/>
    <w:rsid w:val="002D2CB2"/>
    <w:rsid w:val="002D35EC"/>
    <w:rsid w:val="002D3FE3"/>
    <w:rsid w:val="002D5E8B"/>
    <w:rsid w:val="002E4A97"/>
    <w:rsid w:val="002E71C4"/>
    <w:rsid w:val="002F226A"/>
    <w:rsid w:val="00301DC2"/>
    <w:rsid w:val="00307345"/>
    <w:rsid w:val="003227FD"/>
    <w:rsid w:val="00325A55"/>
    <w:rsid w:val="003343DB"/>
    <w:rsid w:val="00336655"/>
    <w:rsid w:val="00342B3C"/>
    <w:rsid w:val="00346554"/>
    <w:rsid w:val="003503EB"/>
    <w:rsid w:val="00350767"/>
    <w:rsid w:val="00350E4B"/>
    <w:rsid w:val="003533A1"/>
    <w:rsid w:val="003650D5"/>
    <w:rsid w:val="003651DE"/>
    <w:rsid w:val="00366F75"/>
    <w:rsid w:val="00367CB8"/>
    <w:rsid w:val="003711C0"/>
    <w:rsid w:val="00373197"/>
    <w:rsid w:val="00375BFA"/>
    <w:rsid w:val="0038390A"/>
    <w:rsid w:val="00394868"/>
    <w:rsid w:val="003A0BBF"/>
    <w:rsid w:val="003A3C08"/>
    <w:rsid w:val="003A6449"/>
    <w:rsid w:val="003A73D2"/>
    <w:rsid w:val="003B3F46"/>
    <w:rsid w:val="003B4DDE"/>
    <w:rsid w:val="003B625C"/>
    <w:rsid w:val="003C0C28"/>
    <w:rsid w:val="003C0F32"/>
    <w:rsid w:val="003C6CAC"/>
    <w:rsid w:val="003D3516"/>
    <w:rsid w:val="003E1394"/>
    <w:rsid w:val="003E582F"/>
    <w:rsid w:val="00401B59"/>
    <w:rsid w:val="00405CE5"/>
    <w:rsid w:val="0041604F"/>
    <w:rsid w:val="00416865"/>
    <w:rsid w:val="00427DD9"/>
    <w:rsid w:val="004317DB"/>
    <w:rsid w:val="00432C5C"/>
    <w:rsid w:val="00437C19"/>
    <w:rsid w:val="00461D1F"/>
    <w:rsid w:val="0046422D"/>
    <w:rsid w:val="00470148"/>
    <w:rsid w:val="00470526"/>
    <w:rsid w:val="0047193D"/>
    <w:rsid w:val="004724CB"/>
    <w:rsid w:val="00482532"/>
    <w:rsid w:val="004848A4"/>
    <w:rsid w:val="004965F6"/>
    <w:rsid w:val="004A0755"/>
    <w:rsid w:val="004A6BE3"/>
    <w:rsid w:val="004B078F"/>
    <w:rsid w:val="004C4371"/>
    <w:rsid w:val="004C7D38"/>
    <w:rsid w:val="004D0D86"/>
    <w:rsid w:val="004D10C6"/>
    <w:rsid w:val="004D2643"/>
    <w:rsid w:val="004D294E"/>
    <w:rsid w:val="004D3D03"/>
    <w:rsid w:val="004D4586"/>
    <w:rsid w:val="004D6329"/>
    <w:rsid w:val="004E034B"/>
    <w:rsid w:val="004E17FC"/>
    <w:rsid w:val="004E274E"/>
    <w:rsid w:val="004E517F"/>
    <w:rsid w:val="004F778E"/>
    <w:rsid w:val="004F7A38"/>
    <w:rsid w:val="00500D07"/>
    <w:rsid w:val="0050148F"/>
    <w:rsid w:val="00502F91"/>
    <w:rsid w:val="00520AAA"/>
    <w:rsid w:val="00520B2A"/>
    <w:rsid w:val="00532F17"/>
    <w:rsid w:val="005338E4"/>
    <w:rsid w:val="0054286C"/>
    <w:rsid w:val="00543E5A"/>
    <w:rsid w:val="00545A32"/>
    <w:rsid w:val="0054645F"/>
    <w:rsid w:val="005574B5"/>
    <w:rsid w:val="005616ED"/>
    <w:rsid w:val="005629D0"/>
    <w:rsid w:val="00564A4E"/>
    <w:rsid w:val="005815B6"/>
    <w:rsid w:val="00584E85"/>
    <w:rsid w:val="005871DA"/>
    <w:rsid w:val="00587695"/>
    <w:rsid w:val="0059054D"/>
    <w:rsid w:val="0059316B"/>
    <w:rsid w:val="005949A8"/>
    <w:rsid w:val="005A077D"/>
    <w:rsid w:val="005A4320"/>
    <w:rsid w:val="005A498D"/>
    <w:rsid w:val="005C19CA"/>
    <w:rsid w:val="005C4522"/>
    <w:rsid w:val="005D49BF"/>
    <w:rsid w:val="005D7A0D"/>
    <w:rsid w:val="005F30C3"/>
    <w:rsid w:val="005F7863"/>
    <w:rsid w:val="0060353B"/>
    <w:rsid w:val="00614961"/>
    <w:rsid w:val="00620876"/>
    <w:rsid w:val="00624FD0"/>
    <w:rsid w:val="00630C5E"/>
    <w:rsid w:val="006315B4"/>
    <w:rsid w:val="00635AC3"/>
    <w:rsid w:val="00636FFB"/>
    <w:rsid w:val="006446B8"/>
    <w:rsid w:val="00654CCF"/>
    <w:rsid w:val="00665F82"/>
    <w:rsid w:val="00666D0E"/>
    <w:rsid w:val="0067186C"/>
    <w:rsid w:val="00671E11"/>
    <w:rsid w:val="006738E9"/>
    <w:rsid w:val="006779DA"/>
    <w:rsid w:val="00687EB3"/>
    <w:rsid w:val="00692477"/>
    <w:rsid w:val="00692980"/>
    <w:rsid w:val="00692F01"/>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210C"/>
    <w:rsid w:val="00704D44"/>
    <w:rsid w:val="00715A68"/>
    <w:rsid w:val="00715BB3"/>
    <w:rsid w:val="00715DD5"/>
    <w:rsid w:val="00715ECF"/>
    <w:rsid w:val="00716282"/>
    <w:rsid w:val="00717A04"/>
    <w:rsid w:val="00717BFE"/>
    <w:rsid w:val="007208C5"/>
    <w:rsid w:val="00725BB4"/>
    <w:rsid w:val="0073180A"/>
    <w:rsid w:val="00732997"/>
    <w:rsid w:val="007336C3"/>
    <w:rsid w:val="00735033"/>
    <w:rsid w:val="00756485"/>
    <w:rsid w:val="0075705D"/>
    <w:rsid w:val="007626E1"/>
    <w:rsid w:val="00767F65"/>
    <w:rsid w:val="00770D6C"/>
    <w:rsid w:val="00783515"/>
    <w:rsid w:val="00787C94"/>
    <w:rsid w:val="00791BCB"/>
    <w:rsid w:val="007921BD"/>
    <w:rsid w:val="00793A02"/>
    <w:rsid w:val="00795C6B"/>
    <w:rsid w:val="007A1566"/>
    <w:rsid w:val="007A3995"/>
    <w:rsid w:val="007A5AC5"/>
    <w:rsid w:val="007B2866"/>
    <w:rsid w:val="007B622D"/>
    <w:rsid w:val="007C4288"/>
    <w:rsid w:val="007C484E"/>
    <w:rsid w:val="007D4853"/>
    <w:rsid w:val="007D57C4"/>
    <w:rsid w:val="007E0429"/>
    <w:rsid w:val="007E41DE"/>
    <w:rsid w:val="007E4CE3"/>
    <w:rsid w:val="007F2B1F"/>
    <w:rsid w:val="007F3DFB"/>
    <w:rsid w:val="00802F7A"/>
    <w:rsid w:val="00806A1C"/>
    <w:rsid w:val="0080773A"/>
    <w:rsid w:val="008173F3"/>
    <w:rsid w:val="0082092A"/>
    <w:rsid w:val="00820B15"/>
    <w:rsid w:val="0082117C"/>
    <w:rsid w:val="008227E9"/>
    <w:rsid w:val="008252C5"/>
    <w:rsid w:val="00831860"/>
    <w:rsid w:val="00832F2D"/>
    <w:rsid w:val="00836C6A"/>
    <w:rsid w:val="00841C9F"/>
    <w:rsid w:val="0084294E"/>
    <w:rsid w:val="00843EFF"/>
    <w:rsid w:val="008442A5"/>
    <w:rsid w:val="008477A9"/>
    <w:rsid w:val="0085416A"/>
    <w:rsid w:val="00856B0F"/>
    <w:rsid w:val="0087186A"/>
    <w:rsid w:val="00872C56"/>
    <w:rsid w:val="00874F67"/>
    <w:rsid w:val="00876AC2"/>
    <w:rsid w:val="00883F43"/>
    <w:rsid w:val="00884C98"/>
    <w:rsid w:val="00884CE2"/>
    <w:rsid w:val="00885E7D"/>
    <w:rsid w:val="00886AE5"/>
    <w:rsid w:val="0089363F"/>
    <w:rsid w:val="00894D05"/>
    <w:rsid w:val="00896ED8"/>
    <w:rsid w:val="008A209D"/>
    <w:rsid w:val="008A2436"/>
    <w:rsid w:val="008A4E8C"/>
    <w:rsid w:val="008A563D"/>
    <w:rsid w:val="008B1443"/>
    <w:rsid w:val="008B3B0A"/>
    <w:rsid w:val="008C2BA0"/>
    <w:rsid w:val="008C69F2"/>
    <w:rsid w:val="008C703D"/>
    <w:rsid w:val="008D1D44"/>
    <w:rsid w:val="008D3E6C"/>
    <w:rsid w:val="008E04EC"/>
    <w:rsid w:val="008E2BD1"/>
    <w:rsid w:val="008E43F4"/>
    <w:rsid w:val="008F1340"/>
    <w:rsid w:val="008F42F6"/>
    <w:rsid w:val="008F5282"/>
    <w:rsid w:val="00912BAC"/>
    <w:rsid w:val="00925058"/>
    <w:rsid w:val="00926CDB"/>
    <w:rsid w:val="00930113"/>
    <w:rsid w:val="00934FED"/>
    <w:rsid w:val="009356EC"/>
    <w:rsid w:val="00937FB2"/>
    <w:rsid w:val="0094114F"/>
    <w:rsid w:val="00951590"/>
    <w:rsid w:val="00955F42"/>
    <w:rsid w:val="0095690D"/>
    <w:rsid w:val="009609C5"/>
    <w:rsid w:val="00965B1A"/>
    <w:rsid w:val="00971B57"/>
    <w:rsid w:val="00973208"/>
    <w:rsid w:val="00976933"/>
    <w:rsid w:val="00981893"/>
    <w:rsid w:val="00981F7B"/>
    <w:rsid w:val="00984974"/>
    <w:rsid w:val="00986438"/>
    <w:rsid w:val="00987DBF"/>
    <w:rsid w:val="009946C7"/>
    <w:rsid w:val="009970F9"/>
    <w:rsid w:val="009A5590"/>
    <w:rsid w:val="009C3837"/>
    <w:rsid w:val="009C44BD"/>
    <w:rsid w:val="009C537F"/>
    <w:rsid w:val="009D0585"/>
    <w:rsid w:val="009D2BB3"/>
    <w:rsid w:val="009E0846"/>
    <w:rsid w:val="009E1EF4"/>
    <w:rsid w:val="009E1F32"/>
    <w:rsid w:val="009E4BD5"/>
    <w:rsid w:val="009F1BE0"/>
    <w:rsid w:val="009F7CED"/>
    <w:rsid w:val="00A04569"/>
    <w:rsid w:val="00A0736A"/>
    <w:rsid w:val="00A07DE7"/>
    <w:rsid w:val="00A120D6"/>
    <w:rsid w:val="00A1301A"/>
    <w:rsid w:val="00A14C37"/>
    <w:rsid w:val="00A161B9"/>
    <w:rsid w:val="00A219D7"/>
    <w:rsid w:val="00A26A06"/>
    <w:rsid w:val="00A2785C"/>
    <w:rsid w:val="00A27D3B"/>
    <w:rsid w:val="00A33DCF"/>
    <w:rsid w:val="00A377FE"/>
    <w:rsid w:val="00A40521"/>
    <w:rsid w:val="00A4128C"/>
    <w:rsid w:val="00A41AEF"/>
    <w:rsid w:val="00A447B3"/>
    <w:rsid w:val="00A500DD"/>
    <w:rsid w:val="00A52C3F"/>
    <w:rsid w:val="00A55DB6"/>
    <w:rsid w:val="00A61784"/>
    <w:rsid w:val="00A64120"/>
    <w:rsid w:val="00A72973"/>
    <w:rsid w:val="00A74AFD"/>
    <w:rsid w:val="00A80613"/>
    <w:rsid w:val="00A83A98"/>
    <w:rsid w:val="00A85AEA"/>
    <w:rsid w:val="00A94019"/>
    <w:rsid w:val="00AA28E8"/>
    <w:rsid w:val="00AB0708"/>
    <w:rsid w:val="00AB0C45"/>
    <w:rsid w:val="00AB6652"/>
    <w:rsid w:val="00AC1AF8"/>
    <w:rsid w:val="00AC447D"/>
    <w:rsid w:val="00AD5446"/>
    <w:rsid w:val="00AD623F"/>
    <w:rsid w:val="00AE03F3"/>
    <w:rsid w:val="00AF569A"/>
    <w:rsid w:val="00AF5E71"/>
    <w:rsid w:val="00B13AE3"/>
    <w:rsid w:val="00B237AC"/>
    <w:rsid w:val="00B25550"/>
    <w:rsid w:val="00B30DCD"/>
    <w:rsid w:val="00B377D3"/>
    <w:rsid w:val="00B4178F"/>
    <w:rsid w:val="00B4216E"/>
    <w:rsid w:val="00B448DC"/>
    <w:rsid w:val="00B463AC"/>
    <w:rsid w:val="00B508C9"/>
    <w:rsid w:val="00B51095"/>
    <w:rsid w:val="00B6123C"/>
    <w:rsid w:val="00B61CA6"/>
    <w:rsid w:val="00B65F1B"/>
    <w:rsid w:val="00B66D03"/>
    <w:rsid w:val="00B7000F"/>
    <w:rsid w:val="00B729FC"/>
    <w:rsid w:val="00B73EC6"/>
    <w:rsid w:val="00B766E4"/>
    <w:rsid w:val="00B8326D"/>
    <w:rsid w:val="00B84AF8"/>
    <w:rsid w:val="00B937B6"/>
    <w:rsid w:val="00BA450F"/>
    <w:rsid w:val="00BB545F"/>
    <w:rsid w:val="00BD4B65"/>
    <w:rsid w:val="00BE280C"/>
    <w:rsid w:val="00BF054E"/>
    <w:rsid w:val="00BF0DB9"/>
    <w:rsid w:val="00C12B93"/>
    <w:rsid w:val="00C134C3"/>
    <w:rsid w:val="00C26C14"/>
    <w:rsid w:val="00C27D76"/>
    <w:rsid w:val="00C31D59"/>
    <w:rsid w:val="00C36892"/>
    <w:rsid w:val="00C4009A"/>
    <w:rsid w:val="00C401C2"/>
    <w:rsid w:val="00C43BD2"/>
    <w:rsid w:val="00C46330"/>
    <w:rsid w:val="00C47F73"/>
    <w:rsid w:val="00C52E86"/>
    <w:rsid w:val="00C6077B"/>
    <w:rsid w:val="00C61441"/>
    <w:rsid w:val="00C7294E"/>
    <w:rsid w:val="00C836D0"/>
    <w:rsid w:val="00C91F90"/>
    <w:rsid w:val="00CA57DF"/>
    <w:rsid w:val="00CB0063"/>
    <w:rsid w:val="00CB4D37"/>
    <w:rsid w:val="00CB66F7"/>
    <w:rsid w:val="00CC0C62"/>
    <w:rsid w:val="00CC259C"/>
    <w:rsid w:val="00CC42D1"/>
    <w:rsid w:val="00CC5B3E"/>
    <w:rsid w:val="00CE1A87"/>
    <w:rsid w:val="00CF0BE3"/>
    <w:rsid w:val="00CF25EF"/>
    <w:rsid w:val="00D04A96"/>
    <w:rsid w:val="00D05B67"/>
    <w:rsid w:val="00D05D52"/>
    <w:rsid w:val="00D24980"/>
    <w:rsid w:val="00D26D53"/>
    <w:rsid w:val="00D31F43"/>
    <w:rsid w:val="00D36048"/>
    <w:rsid w:val="00D40E59"/>
    <w:rsid w:val="00D415E6"/>
    <w:rsid w:val="00D444C5"/>
    <w:rsid w:val="00D530DC"/>
    <w:rsid w:val="00D62023"/>
    <w:rsid w:val="00D7070F"/>
    <w:rsid w:val="00D709DD"/>
    <w:rsid w:val="00D8294A"/>
    <w:rsid w:val="00D83F98"/>
    <w:rsid w:val="00D84A75"/>
    <w:rsid w:val="00D85F90"/>
    <w:rsid w:val="00D90649"/>
    <w:rsid w:val="00D91E89"/>
    <w:rsid w:val="00D9213D"/>
    <w:rsid w:val="00D965B1"/>
    <w:rsid w:val="00D97DF9"/>
    <w:rsid w:val="00D97F1C"/>
    <w:rsid w:val="00DA4F05"/>
    <w:rsid w:val="00DA6526"/>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407FF"/>
    <w:rsid w:val="00E40C34"/>
    <w:rsid w:val="00E41E2C"/>
    <w:rsid w:val="00E43375"/>
    <w:rsid w:val="00E44207"/>
    <w:rsid w:val="00E66C57"/>
    <w:rsid w:val="00E66D00"/>
    <w:rsid w:val="00E7224C"/>
    <w:rsid w:val="00E729F2"/>
    <w:rsid w:val="00E75DBD"/>
    <w:rsid w:val="00E805D3"/>
    <w:rsid w:val="00E80826"/>
    <w:rsid w:val="00E84DA1"/>
    <w:rsid w:val="00E91332"/>
    <w:rsid w:val="00EA3045"/>
    <w:rsid w:val="00EA7FF5"/>
    <w:rsid w:val="00EC1DE8"/>
    <w:rsid w:val="00EC35AE"/>
    <w:rsid w:val="00ED4708"/>
    <w:rsid w:val="00EE0D69"/>
    <w:rsid w:val="00EE0F26"/>
    <w:rsid w:val="00EE2ABB"/>
    <w:rsid w:val="00EF192B"/>
    <w:rsid w:val="00F06B8A"/>
    <w:rsid w:val="00F07A7D"/>
    <w:rsid w:val="00F11163"/>
    <w:rsid w:val="00F11C00"/>
    <w:rsid w:val="00F153C1"/>
    <w:rsid w:val="00F16839"/>
    <w:rsid w:val="00F211E7"/>
    <w:rsid w:val="00F21D37"/>
    <w:rsid w:val="00F221F0"/>
    <w:rsid w:val="00F26136"/>
    <w:rsid w:val="00F2713B"/>
    <w:rsid w:val="00F305D8"/>
    <w:rsid w:val="00F37106"/>
    <w:rsid w:val="00F428BC"/>
    <w:rsid w:val="00F44A2E"/>
    <w:rsid w:val="00F47D57"/>
    <w:rsid w:val="00F55DC4"/>
    <w:rsid w:val="00F576B3"/>
    <w:rsid w:val="00F741AF"/>
    <w:rsid w:val="00F745E1"/>
    <w:rsid w:val="00F75A79"/>
    <w:rsid w:val="00F7620E"/>
    <w:rsid w:val="00F775AD"/>
    <w:rsid w:val="00F77DB8"/>
    <w:rsid w:val="00F80E07"/>
    <w:rsid w:val="00F90326"/>
    <w:rsid w:val="00F90F86"/>
    <w:rsid w:val="00F92DF0"/>
    <w:rsid w:val="00FA0454"/>
    <w:rsid w:val="00FA4A9E"/>
    <w:rsid w:val="00FA7D61"/>
    <w:rsid w:val="00FB1248"/>
    <w:rsid w:val="00FB1453"/>
    <w:rsid w:val="00FB217D"/>
    <w:rsid w:val="00FB29CC"/>
    <w:rsid w:val="00FC0522"/>
    <w:rsid w:val="00FC2DE3"/>
    <w:rsid w:val="00FD3D04"/>
    <w:rsid w:val="00FD49A0"/>
    <w:rsid w:val="00FE27DE"/>
    <w:rsid w:val="00FE2D84"/>
    <w:rsid w:val="00FF66C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Heading1">
    <w:name w:val="heading 1"/>
    <w:basedOn w:val="Normal"/>
    <w:next w:val="Normal"/>
    <w:qFormat/>
    <w:pPr>
      <w:keepNext/>
      <w:spacing w:before="240" w:after="60"/>
      <w:outlineLvl w:val="0"/>
    </w:pPr>
    <w:rPr>
      <w:b/>
      <w:color w:val="000080"/>
      <w:spacing w:val="-8"/>
      <w:kern w:val="28"/>
      <w:sz w:val="28"/>
      <w:lang w:val="es-CO"/>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ahoma" w:hAnsi="Tahoma" w:cs="Tahoma"/>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BodyTextIndent3">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BodyText">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BodyText2">
    <w:name w:val="Body Text 2"/>
    <w:basedOn w:val="Normal"/>
    <w:rsid w:val="003227FD"/>
    <w:pPr>
      <w:spacing w:after="120" w:line="480" w:lineRule="auto"/>
    </w:pPr>
  </w:style>
  <w:style w:type="paragraph" w:styleId="Header">
    <w:name w:val="header"/>
    <w:basedOn w:val="Normal"/>
    <w:rsid w:val="00A2785C"/>
    <w:pPr>
      <w:tabs>
        <w:tab w:val="center" w:pos="4252"/>
        <w:tab w:val="right" w:pos="8504"/>
      </w:tabs>
    </w:pPr>
  </w:style>
  <w:style w:type="paragraph" w:styleId="Footer">
    <w:name w:val="footer"/>
    <w:basedOn w:val="Normal"/>
    <w:link w:val="FooterChar"/>
    <w:uiPriority w:val="99"/>
    <w:rsid w:val="00A2785C"/>
    <w:pPr>
      <w:tabs>
        <w:tab w:val="center" w:pos="4252"/>
        <w:tab w:val="right" w:pos="8504"/>
      </w:tabs>
    </w:pPr>
  </w:style>
  <w:style w:type="character" w:styleId="PageNumber">
    <w:name w:val="page number"/>
    <w:basedOn w:val="DefaultParagraphFont"/>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semiHidden/>
    <w:rsid w:val="00885E7D"/>
    <w:rPr>
      <w:sz w:val="16"/>
      <w:szCs w:val="16"/>
    </w:rPr>
  </w:style>
  <w:style w:type="paragraph" w:styleId="CommentText">
    <w:name w:val="annotation text"/>
    <w:basedOn w:val="Normal"/>
    <w:semiHidden/>
    <w:rsid w:val="00885E7D"/>
  </w:style>
  <w:style w:type="paragraph" w:styleId="CommentSubject">
    <w:name w:val="annotation subject"/>
    <w:basedOn w:val="CommentText"/>
    <w:next w:val="CommentText"/>
    <w:semiHidden/>
    <w:rsid w:val="00885E7D"/>
    <w:rPr>
      <w:b/>
      <w:bCs/>
    </w:rPr>
  </w:style>
  <w:style w:type="paragraph" w:styleId="BalloonText">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FooterChar">
    <w:name w:val="Footer Char"/>
    <w:link w:val="Footer"/>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DefaultParagraphFont"/>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FootnoteText">
    <w:name w:val="footnote text"/>
    <w:basedOn w:val="Normal"/>
    <w:link w:val="FootnoteTextChar"/>
    <w:uiPriority w:val="99"/>
    <w:rsid w:val="00925058"/>
    <w:rPr>
      <w:rFonts w:ascii="Times" w:eastAsia="Times" w:hAnsi="Times"/>
      <w:lang w:val="en-US"/>
    </w:rPr>
  </w:style>
  <w:style w:type="character" w:customStyle="1" w:styleId="FootnoteTextChar">
    <w:name w:val="Footnote Text Char"/>
    <w:link w:val="FootnoteText"/>
    <w:uiPriority w:val="99"/>
    <w:rsid w:val="00925058"/>
    <w:rPr>
      <w:rFonts w:ascii="Times" w:eastAsia="Times" w:hAnsi="Times"/>
      <w:lang w:val="en-US" w:eastAsia="es-ES"/>
    </w:rPr>
  </w:style>
  <w:style w:type="character" w:styleId="FootnoteReferenc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Strong">
    <w:name w:val="Strong"/>
    <w:uiPriority w:val="22"/>
    <w:qFormat/>
    <w:rsid w:val="002D2CB2"/>
    <w:rPr>
      <w:b/>
      <w:bCs/>
    </w:rPr>
  </w:style>
  <w:style w:type="paragraph" w:styleId="Title">
    <w:name w:val="Title"/>
    <w:basedOn w:val="Normal"/>
    <w:link w:val="TitleChar"/>
    <w:qFormat/>
    <w:rsid w:val="00AE03F3"/>
    <w:pPr>
      <w:jc w:val="center"/>
    </w:pPr>
    <w:rPr>
      <w:rFonts w:cs="Arial"/>
      <w:b/>
      <w:bCs/>
      <w:sz w:val="32"/>
      <w:szCs w:val="24"/>
    </w:rPr>
  </w:style>
  <w:style w:type="character" w:customStyle="1" w:styleId="TitleChar">
    <w:name w:val="Title Char"/>
    <w:link w:val="Title"/>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yperlink">
    <w:name w:val="Hyperlink"/>
    <w:uiPriority w:val="99"/>
    <w:unhideWhenUsed/>
    <w:rsid w:val="00F80E07"/>
    <w:rPr>
      <w:color w:val="0000FF"/>
      <w:u w:val="single"/>
    </w:rPr>
  </w:style>
  <w:style w:type="table" w:styleId="TableGrid">
    <w:name w:val="Table Grid"/>
    <w:basedOn w:val="Table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character" w:styleId="UnresolvedMention">
    <w:name w:val="Unresolved Mention"/>
    <w:basedOn w:val="DefaultParagraphFont"/>
    <w:uiPriority w:val="99"/>
    <w:semiHidden/>
    <w:unhideWhenUsed/>
    <w:rsid w:val="005D7A0D"/>
    <w:rPr>
      <w:color w:val="605E5C"/>
      <w:shd w:val="clear" w:color="auto" w:fill="E1DFDD"/>
    </w:rPr>
  </w:style>
  <w:style w:type="paragraph" w:styleId="Revision">
    <w:name w:val="Revision"/>
    <w:hidden/>
    <w:uiPriority w:val="71"/>
    <w:rsid w:val="00C836D0"/>
    <w:rPr>
      <w:rFonts w:ascii="Arial" w:hAnsi="Arial"/>
      <w:lang w:val="es-ES" w:eastAsia="es-ES"/>
    </w:rPr>
  </w:style>
  <w:style w:type="character" w:customStyle="1" w:styleId="normaltextrun">
    <w:name w:val="normaltextrun"/>
    <w:basedOn w:val="DefaultParagraphFont"/>
    <w:rsid w:val="007F3DFB"/>
  </w:style>
  <w:style w:type="character" w:customStyle="1" w:styleId="eop">
    <w:name w:val="eop"/>
    <w:basedOn w:val="DefaultParagraphFont"/>
    <w:rsid w:val="007F3DFB"/>
  </w:style>
  <w:style w:type="paragraph" w:styleId="ListParagraph">
    <w:name w:val="List Paragraph"/>
    <w:basedOn w:val="Normal"/>
    <w:uiPriority w:val="34"/>
    <w:qFormat/>
    <w:rsid w:val="00981F7B"/>
    <w:pPr>
      <w:ind w:left="720"/>
      <w:contextualSpacing/>
    </w:pPr>
    <w:rPr>
      <w:rFonts w:ascii="Times New Roman" w:hAnsi="Times New Roman"/>
      <w:sz w:val="24"/>
      <w:szCs w:val="24"/>
      <w:lang w:val="en-C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6488">
      <w:bodyDiv w:val="1"/>
      <w:marLeft w:val="0"/>
      <w:marRight w:val="0"/>
      <w:marTop w:val="0"/>
      <w:marBottom w:val="0"/>
      <w:divBdr>
        <w:top w:val="none" w:sz="0" w:space="0" w:color="auto"/>
        <w:left w:val="none" w:sz="0" w:space="0" w:color="auto"/>
        <w:bottom w:val="none" w:sz="0" w:space="0" w:color="auto"/>
        <w:right w:val="none" w:sz="0" w:space="0" w:color="auto"/>
      </w:divBdr>
    </w:div>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64984239">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761364440">
      <w:bodyDiv w:val="1"/>
      <w:marLeft w:val="0"/>
      <w:marRight w:val="0"/>
      <w:marTop w:val="0"/>
      <w:marBottom w:val="0"/>
      <w:divBdr>
        <w:top w:val="none" w:sz="0" w:space="0" w:color="auto"/>
        <w:left w:val="none" w:sz="0" w:space="0" w:color="auto"/>
        <w:bottom w:val="none" w:sz="0" w:space="0" w:color="auto"/>
        <w:right w:val="none" w:sz="0" w:space="0" w:color="auto"/>
      </w:divBdr>
    </w:div>
    <w:div w:id="1970478566">
      <w:bodyDiv w:val="1"/>
      <w:marLeft w:val="0"/>
      <w:marRight w:val="0"/>
      <w:marTop w:val="0"/>
      <w:marBottom w:val="0"/>
      <w:divBdr>
        <w:top w:val="none" w:sz="0" w:space="0" w:color="auto"/>
        <w:left w:val="none" w:sz="0" w:space="0" w:color="auto"/>
        <w:bottom w:val="none" w:sz="0" w:space="0" w:color="auto"/>
        <w:right w:val="none" w:sz="0" w:space="0" w:color="auto"/>
      </w:divBdr>
    </w:div>
    <w:div w:id="2007200558">
      <w:bodyDiv w:val="1"/>
      <w:marLeft w:val="0"/>
      <w:marRight w:val="0"/>
      <w:marTop w:val="0"/>
      <w:marBottom w:val="0"/>
      <w:divBdr>
        <w:top w:val="none" w:sz="0" w:space="0" w:color="auto"/>
        <w:left w:val="none" w:sz="0" w:space="0" w:color="auto"/>
        <w:bottom w:val="none" w:sz="0" w:space="0" w:color="auto"/>
        <w:right w:val="none" w:sz="0" w:space="0" w:color="auto"/>
      </w:divBdr>
      <w:divsChild>
        <w:div w:id="1781799687">
          <w:marLeft w:val="446"/>
          <w:marRight w:val="0"/>
          <w:marTop w:val="200"/>
          <w:marBottom w:val="0"/>
          <w:divBdr>
            <w:top w:val="none" w:sz="0" w:space="0" w:color="auto"/>
            <w:left w:val="none" w:sz="0" w:space="0" w:color="auto"/>
            <w:bottom w:val="none" w:sz="0" w:space="0" w:color="auto"/>
            <w:right w:val="none" w:sz="0" w:space="0" w:color="auto"/>
          </w:divBdr>
        </w:div>
      </w:divsChild>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mograma.mintic.gov.co/mintic/compilacion/docs/resolucion_mintic_3556_2024.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mograma.mintic.gov.co/mintic/compilacion/docs/resolucion_mintic_3556_2024.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mograma.mintic.gov.co/mintic/compilacion/docs/resolucion_mintic_3556_2024.htm" TargetMode="External"/><Relationship Id="rId5" Type="http://schemas.openxmlformats.org/officeDocument/2006/relationships/numbering" Target="numbering.xml"/><Relationship Id="rId15" Type="http://schemas.openxmlformats.org/officeDocument/2006/relationships/hyperlink" Target="https://normograma.mintic.gov.co/mintic/compilacion/docs/resolucion_mintic_2285_2023.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mograma.mintic.gov.co/mintic/compilacion/docs/resolucion_mintic_0922_2020.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Props1.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2.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4.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2727</Words>
  <Characters>15544</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dafp</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Juan David Vargas Manzanera</cp:lastModifiedBy>
  <cp:revision>6</cp:revision>
  <cp:lastPrinted>2019-07-08T22:30:00Z</cp:lastPrinted>
  <dcterms:created xsi:type="dcterms:W3CDTF">2025-10-24T01:35:00Z</dcterms:created>
  <dcterms:modified xsi:type="dcterms:W3CDTF">2025-11-20T20:22:00Z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