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922" w:type="dxa"/>
        <w:tblBorders>
          <w:top w:val="single" w:color="auto" w:sz="4" w:space="0"/>
          <w:left w:val="single" w:color="auto" w:sz="4" w:space="0"/>
          <w:bottom w:val="single" w:color="auto" w:sz="4" w:space="0"/>
          <w:right w:val="single" w:color="auto" w:sz="4" w:space="0"/>
        </w:tblBorders>
        <w:shd w:val="clear" w:color="auto" w:fill="FFFFFF"/>
        <w:tblLayout w:type="fixed"/>
        <w:tblCellMar>
          <w:left w:w="70" w:type="dxa"/>
          <w:right w:w="70" w:type="dxa"/>
        </w:tblCellMar>
        <w:tblLook w:val="04A0" w:firstRow="1" w:lastRow="0" w:firstColumn="1" w:lastColumn="0" w:noHBand="0" w:noVBand="1"/>
      </w:tblPr>
      <w:tblGrid>
        <w:gridCol w:w="3480"/>
        <w:gridCol w:w="3480"/>
        <w:gridCol w:w="3480"/>
      </w:tblGrid>
      <w:tr w:rsidRPr="00C2408F" w:rsidR="005C4522" w:rsidTr="5173853D" w14:paraId="37976A32" w14:textId="77777777">
        <w:trPr>
          <w:trHeight w:val="300"/>
        </w:trPr>
        <w:tc>
          <w:tcPr>
            <w:tcW w:w="348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8C703D" w:rsidR="0026513E" w:rsidP="002264B8" w:rsidRDefault="00795C6B" w14:paraId="2221798A" w14:textId="77777777">
            <w:pPr>
              <w:pStyle w:val="Ttulo2"/>
              <w:ind w:right="72"/>
              <w:jc w:val="left"/>
              <w:rPr>
                <w:rFonts w:cs="Arial"/>
                <w:bCs/>
                <w:sz w:val="22"/>
                <w:szCs w:val="22"/>
              </w:rPr>
            </w:pPr>
            <w:r w:rsidRPr="008C703D">
              <w:rPr>
                <w:rFonts w:cs="Arial"/>
                <w:sz w:val="22"/>
                <w:szCs w:val="22"/>
                <w:lang w:val="es-CO"/>
              </w:rPr>
              <w:t>Entidad</w:t>
            </w:r>
            <w:r w:rsidRPr="008C703D" w:rsidR="00086B16">
              <w:rPr>
                <w:rFonts w:cs="Arial"/>
                <w:sz w:val="22"/>
                <w:szCs w:val="22"/>
                <w:lang w:val="es-CO"/>
              </w:rPr>
              <w:t xml:space="preserve"> </w:t>
            </w:r>
            <w:r w:rsidRPr="008C703D">
              <w:rPr>
                <w:rFonts w:cs="Arial"/>
                <w:sz w:val="22"/>
                <w:szCs w:val="22"/>
                <w:lang w:val="es-CO"/>
              </w:rPr>
              <w:t>originadora</w:t>
            </w:r>
            <w:r w:rsidRPr="008C703D" w:rsidR="00293F29">
              <w:rPr>
                <w:rFonts w:cs="Arial"/>
                <w:sz w:val="22"/>
                <w:szCs w:val="22"/>
                <w:lang w:val="es-CO"/>
              </w:rPr>
              <w:t>:</w:t>
            </w:r>
          </w:p>
        </w:tc>
        <w:tc>
          <w:tcPr>
            <w:tcW w:w="6960" w:type="dxa"/>
            <w:gridSpan w:val="2"/>
            <w:tcBorders>
              <w:top w:val="single" w:color="auto" w:sz="4" w:space="0"/>
              <w:left w:val="single" w:color="auto" w:sz="4" w:space="0"/>
              <w:bottom w:val="single" w:color="auto" w:sz="4" w:space="0"/>
            </w:tcBorders>
            <w:shd w:val="clear" w:color="auto" w:fill="FFFFFF" w:themeFill="background1"/>
            <w:tcMar/>
            <w:vAlign w:val="center"/>
          </w:tcPr>
          <w:p w:rsidRPr="001514D5" w:rsidR="0026513E" w:rsidP="7D997820" w:rsidRDefault="70F2CE53" w14:paraId="79406CB6" w14:textId="3C24E076">
            <w:pPr>
              <w:pStyle w:val="Ttulo2"/>
              <w:spacing w:line="259" w:lineRule="auto"/>
              <w:ind w:right="72"/>
              <w:jc w:val="left"/>
              <w:rPr>
                <w:rFonts w:cs="Arial"/>
                <w:b w:val="0"/>
                <w:i/>
                <w:iCs/>
                <w:color w:val="808080" w:themeColor="background1" w:themeShade="80"/>
              </w:rPr>
            </w:pPr>
            <w:r w:rsidRPr="7D997820">
              <w:rPr>
                <w:rFonts w:eastAsia="Arial Narrow" w:cs="Arial"/>
                <w:b w:val="0"/>
                <w:i/>
                <w:iCs/>
              </w:rPr>
              <w:t>Dirección de Industria de Comunicaciones - Subdirección para la Industria de Comunicaciones</w:t>
            </w:r>
          </w:p>
        </w:tc>
      </w:tr>
      <w:tr w:rsidRPr="00C2408F" w:rsidR="005C4522" w:rsidTr="5173853D" w14:paraId="53D25FCD" w14:textId="77777777">
        <w:trPr>
          <w:trHeight w:val="300"/>
        </w:trPr>
        <w:tc>
          <w:tcPr>
            <w:tcW w:w="348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8C703D" w:rsidR="00C47F73" w:rsidP="002264B8" w:rsidRDefault="0026513E" w14:paraId="46D1BF2E" w14:textId="77777777">
            <w:pPr>
              <w:pStyle w:val="Ttulo2"/>
              <w:ind w:right="72"/>
              <w:jc w:val="left"/>
              <w:rPr>
                <w:rFonts w:cs="Arial"/>
                <w:bCs/>
                <w:sz w:val="22"/>
                <w:szCs w:val="22"/>
              </w:rPr>
            </w:pPr>
            <w:r w:rsidRPr="008C703D">
              <w:rPr>
                <w:rFonts w:cs="Arial"/>
                <w:bCs/>
                <w:sz w:val="22"/>
                <w:szCs w:val="22"/>
              </w:rPr>
              <w:t>Fecha</w:t>
            </w:r>
            <w:r w:rsidRPr="008C703D" w:rsidR="00BB545F">
              <w:rPr>
                <w:rFonts w:cs="Arial"/>
                <w:bCs/>
                <w:sz w:val="22"/>
                <w:szCs w:val="22"/>
              </w:rPr>
              <w:t xml:space="preserve"> (dd/mm/aa)</w:t>
            </w:r>
            <w:r w:rsidRPr="008C703D" w:rsidR="00293F29">
              <w:rPr>
                <w:rFonts w:cs="Arial"/>
                <w:bCs/>
                <w:sz w:val="22"/>
                <w:szCs w:val="22"/>
              </w:rPr>
              <w:t>:</w:t>
            </w:r>
          </w:p>
        </w:tc>
        <w:tc>
          <w:tcPr>
            <w:tcW w:w="6960" w:type="dxa"/>
            <w:gridSpan w:val="2"/>
            <w:tcBorders>
              <w:top w:val="single" w:color="auto" w:sz="4" w:space="0"/>
              <w:left w:val="single" w:color="auto" w:sz="4" w:space="0"/>
              <w:bottom w:val="single" w:color="auto" w:sz="4" w:space="0"/>
            </w:tcBorders>
            <w:shd w:val="clear" w:color="auto" w:fill="FFFFFF" w:themeFill="background1"/>
            <w:tcMar/>
            <w:vAlign w:val="center"/>
          </w:tcPr>
          <w:p w:rsidRPr="001514D5" w:rsidR="00C47F73" w:rsidP="5173853D" w:rsidRDefault="4D697007" w14:paraId="77A01855" w14:textId="6DD1B2BB">
            <w:pPr>
              <w:pStyle w:val="Ttulo2"/>
              <w:spacing w:line="259" w:lineRule="auto"/>
              <w:ind w:right="72"/>
              <w:jc w:val="left"/>
              <w:rPr>
                <w:rFonts w:cs="Arial"/>
                <w:b w:val="0"/>
                <w:bCs w:val="0"/>
                <w:i w:val="1"/>
                <w:iCs w:val="1"/>
              </w:rPr>
            </w:pPr>
            <w:r w:rsidRPr="5173853D" w:rsidR="00673C81">
              <w:rPr>
                <w:rFonts w:cs="Arial"/>
                <w:b w:val="0"/>
                <w:bCs w:val="0"/>
                <w:i w:val="1"/>
                <w:iCs w:val="1"/>
              </w:rPr>
              <w:t>2</w:t>
            </w:r>
            <w:r w:rsidRPr="5173853D" w:rsidR="4D697007">
              <w:rPr>
                <w:rFonts w:cs="Arial"/>
                <w:b w:val="0"/>
                <w:bCs w:val="0"/>
                <w:i w:val="1"/>
                <w:iCs w:val="1"/>
              </w:rPr>
              <w:t xml:space="preserve"> </w:t>
            </w:r>
            <w:r w:rsidRPr="5173853D" w:rsidR="001514D5">
              <w:rPr>
                <w:rFonts w:cs="Arial"/>
                <w:b w:val="0"/>
                <w:bCs w:val="0"/>
                <w:i w:val="1"/>
                <w:iCs w:val="1"/>
              </w:rPr>
              <w:t xml:space="preserve">de </w:t>
            </w:r>
            <w:r w:rsidRPr="5173853D" w:rsidR="5119DFD1">
              <w:rPr>
                <w:rFonts w:cs="Arial"/>
                <w:b w:val="0"/>
                <w:bCs w:val="0"/>
                <w:i w:val="1"/>
                <w:iCs w:val="1"/>
              </w:rPr>
              <w:t>dic</w:t>
            </w:r>
            <w:r w:rsidRPr="5173853D" w:rsidR="38F9BDB1">
              <w:rPr>
                <w:rFonts w:cs="Arial"/>
                <w:b w:val="0"/>
                <w:bCs w:val="0"/>
                <w:i w:val="1"/>
                <w:iCs w:val="1"/>
              </w:rPr>
              <w:t>iembre</w:t>
            </w:r>
            <w:r w:rsidRPr="5173853D" w:rsidR="001514D5">
              <w:rPr>
                <w:rFonts w:cs="Arial"/>
                <w:b w:val="0"/>
                <w:bCs w:val="0"/>
                <w:i w:val="1"/>
                <w:iCs w:val="1"/>
              </w:rPr>
              <w:t xml:space="preserve"> </w:t>
            </w:r>
            <w:r w:rsidRPr="5173853D" w:rsidR="001514D5">
              <w:rPr>
                <w:rFonts w:cs="Arial"/>
                <w:b w:val="0"/>
                <w:bCs w:val="0"/>
                <w:i w:val="1"/>
                <w:iCs w:val="1"/>
              </w:rPr>
              <w:t>de 2025</w:t>
            </w:r>
          </w:p>
        </w:tc>
      </w:tr>
      <w:tr w:rsidRPr="00C2408F" w:rsidR="005C4522" w:rsidTr="5173853D" w14:paraId="26AE5D51" w14:textId="77777777">
        <w:trPr>
          <w:trHeight w:val="300"/>
        </w:trPr>
        <w:tc>
          <w:tcPr>
            <w:tcW w:w="3480" w:type="dxa"/>
            <w:tcBorders>
              <w:top w:val="single" w:color="auto" w:sz="4" w:space="0"/>
              <w:bottom w:val="single" w:color="auto" w:sz="4" w:space="0"/>
              <w:right w:val="single" w:color="auto" w:sz="4" w:space="0"/>
            </w:tcBorders>
            <w:shd w:val="clear" w:color="auto" w:fill="D9D9D9" w:themeFill="background1" w:themeFillShade="D9"/>
            <w:tcMar/>
            <w:vAlign w:val="center"/>
          </w:tcPr>
          <w:p w:rsidRPr="008C703D" w:rsidR="0059316B" w:rsidP="002264B8" w:rsidRDefault="00A55DB6" w14:paraId="48B21D1B" w14:textId="77777777">
            <w:pPr>
              <w:pStyle w:val="Ttulo2"/>
              <w:ind w:right="72"/>
              <w:jc w:val="left"/>
              <w:rPr>
                <w:rFonts w:cs="Arial"/>
                <w:bCs/>
                <w:sz w:val="22"/>
                <w:szCs w:val="22"/>
              </w:rPr>
            </w:pPr>
            <w:r w:rsidRPr="008C703D">
              <w:rPr>
                <w:rFonts w:cs="Arial"/>
                <w:bCs/>
                <w:sz w:val="22"/>
                <w:szCs w:val="22"/>
              </w:rPr>
              <w:t xml:space="preserve">Proyecto de </w:t>
            </w:r>
            <w:r w:rsidRPr="008C703D" w:rsidR="00587695">
              <w:rPr>
                <w:rFonts w:cs="Arial"/>
                <w:bCs/>
                <w:sz w:val="22"/>
                <w:szCs w:val="22"/>
              </w:rPr>
              <w:t>D</w:t>
            </w:r>
            <w:r w:rsidRPr="008C703D">
              <w:rPr>
                <w:rFonts w:cs="Arial"/>
                <w:bCs/>
                <w:sz w:val="22"/>
                <w:szCs w:val="22"/>
              </w:rPr>
              <w:t>ecreto</w:t>
            </w:r>
            <w:r w:rsidRPr="008C703D" w:rsidR="00795C6B">
              <w:rPr>
                <w:rFonts w:cs="Arial"/>
                <w:bCs/>
                <w:sz w:val="22"/>
                <w:szCs w:val="22"/>
              </w:rPr>
              <w:t>/Resolución</w:t>
            </w:r>
            <w:r w:rsidRPr="008C703D" w:rsidR="00293F29">
              <w:rPr>
                <w:rFonts w:cs="Arial"/>
                <w:bCs/>
                <w:sz w:val="22"/>
                <w:szCs w:val="22"/>
              </w:rPr>
              <w:t>:</w:t>
            </w:r>
          </w:p>
        </w:tc>
        <w:tc>
          <w:tcPr>
            <w:tcW w:w="6960" w:type="dxa"/>
            <w:gridSpan w:val="2"/>
            <w:tcBorders>
              <w:top w:val="single" w:color="auto" w:sz="4" w:space="0"/>
              <w:left w:val="single" w:color="auto" w:sz="4" w:space="0"/>
              <w:bottom w:val="single" w:color="auto" w:sz="4" w:space="0"/>
            </w:tcBorders>
            <w:shd w:val="clear" w:color="auto" w:fill="FFFFFF" w:themeFill="background1"/>
            <w:tcMar/>
            <w:vAlign w:val="center"/>
          </w:tcPr>
          <w:p w:rsidRPr="001514D5" w:rsidR="001F238A" w:rsidP="12BFCF50" w:rsidRDefault="1C82483C" w14:paraId="74136248" w14:textId="1786AB85">
            <w:pPr>
              <w:pStyle w:val="Ttulo2"/>
              <w:spacing w:line="259" w:lineRule="auto"/>
              <w:jc w:val="both"/>
              <w:rPr>
                <w:rFonts w:eastAsia="Arial Narrow" w:cs="Arial"/>
                <w:b w:val="0"/>
                <w:i/>
                <w:iCs/>
                <w:lang w:val="es"/>
              </w:rPr>
            </w:pPr>
            <w:r w:rsidRPr="12BFCF50">
              <w:rPr>
                <w:rFonts w:eastAsia="Arial Narrow" w:cs="Arial"/>
                <w:b w:val="0"/>
                <w:i/>
                <w:iCs/>
                <w:lang w:val="es"/>
              </w:rPr>
              <w:t>“</w:t>
            </w:r>
            <w:r w:rsidRPr="12BFCF50" w:rsidR="27818CAD">
              <w:rPr>
                <w:rFonts w:eastAsia="Arial Narrow" w:cs="Arial"/>
                <w:b w:val="0"/>
                <w:i/>
                <w:iCs/>
                <w:lang w:val="es"/>
              </w:rPr>
              <w:t>Por la cual se determinan las garantías y el seguimiento del cumplimiento de los planes de inversión en el marco de las excepciones de pago de la contraprestación periódica de que tratan los parágrafos transitorios 2°, 3° y 4° del artículo 36 de la ley 1341 de 2009</w:t>
            </w:r>
            <w:r w:rsidRPr="12BFCF50">
              <w:rPr>
                <w:rFonts w:eastAsia="Arial Narrow" w:cs="Arial"/>
                <w:b w:val="0"/>
                <w:i/>
                <w:iCs/>
                <w:lang w:val="es"/>
              </w:rPr>
              <w:t>”</w:t>
            </w:r>
          </w:p>
        </w:tc>
      </w:tr>
      <w:tr w:rsidRPr="00C2408F" w:rsidR="00DF60FD" w:rsidTr="5173853D" w14:paraId="421EB457" w14:textId="77777777">
        <w:trPr>
          <w:trHeight w:val="300"/>
        </w:trPr>
        <w:tc>
          <w:tcPr>
            <w:tcW w:w="10440" w:type="dxa"/>
            <w:gridSpan w:val="3"/>
            <w:tcBorders>
              <w:top w:val="single" w:color="auto" w:sz="4" w:space="0"/>
            </w:tcBorders>
            <w:shd w:val="clear" w:color="auto" w:fill="FFFFFF" w:themeFill="background1"/>
            <w:tcMar/>
            <w:vAlign w:val="center"/>
          </w:tcPr>
          <w:p w:rsidRPr="005F30C3" w:rsidR="0095690D" w:rsidP="00C2408F" w:rsidRDefault="0095690D" w14:paraId="23A54342" w14:textId="77777777">
            <w:pPr>
              <w:numPr>
                <w:ilvl w:val="0"/>
                <w:numId w:val="3"/>
              </w:numPr>
              <w:ind w:left="494" w:right="142"/>
              <w:rPr>
                <w:rFonts w:cs="Arial"/>
                <w:b/>
                <w:color w:val="000000"/>
                <w:sz w:val="22"/>
                <w:szCs w:val="22"/>
                <w:lang w:val="es-CO"/>
              </w:rPr>
            </w:pPr>
            <w:r w:rsidRPr="005F30C3">
              <w:rPr>
                <w:rFonts w:cs="Arial"/>
                <w:b/>
                <w:color w:val="000000"/>
                <w:sz w:val="22"/>
                <w:szCs w:val="22"/>
                <w:lang w:val="es-CO"/>
              </w:rPr>
              <w:t>ANTECEDENTES Y RAZONES DE OPORTUNIDAD Y CONVENIENCIA QUE JUSTIFICAN SU EXPEDICIÓN.</w:t>
            </w:r>
          </w:p>
          <w:p w:rsidR="00795C6B" w:rsidP="00C2408F" w:rsidRDefault="00795C6B" w14:paraId="6AA0FBFE" w14:textId="77777777">
            <w:pPr>
              <w:pStyle w:val="Prrafodelista"/>
              <w:autoSpaceDE w:val="0"/>
              <w:autoSpaceDN w:val="0"/>
              <w:adjustRightInd w:val="0"/>
              <w:ind w:left="360" w:right="142"/>
              <w:jc w:val="both"/>
              <w:rPr>
                <w:rFonts w:eastAsia="Aptos Display" w:cs="Arial"/>
                <w:color w:val="000000" w:themeColor="text1"/>
                <w:sz w:val="22"/>
                <w:szCs w:val="22"/>
                <w:lang w:val="es"/>
              </w:rPr>
            </w:pPr>
          </w:p>
          <w:p w:rsidR="002E4A97" w:rsidP="00C2408F" w:rsidRDefault="6379F522" w14:paraId="23E52F63" w14:textId="26822A64">
            <w:pPr>
              <w:pStyle w:val="Prrafodelista"/>
              <w:autoSpaceDE w:val="0"/>
              <w:autoSpaceDN w:val="0"/>
              <w:adjustRightInd w:val="0"/>
              <w:ind w:left="360" w:right="142"/>
              <w:jc w:val="both"/>
              <w:rPr>
                <w:rFonts w:eastAsia="Aptos Display" w:cs="Arial"/>
                <w:color w:val="000000" w:themeColor="text1"/>
                <w:sz w:val="22"/>
                <w:szCs w:val="22"/>
                <w:lang w:val="es-CO"/>
              </w:rPr>
            </w:pPr>
            <w:r w:rsidRPr="001514D5">
              <w:rPr>
                <w:rFonts w:eastAsia="Aptos Display" w:cs="Arial"/>
                <w:color w:val="000000" w:themeColor="text1"/>
                <w:sz w:val="22"/>
                <w:szCs w:val="22"/>
                <w:lang w:val="es"/>
              </w:rPr>
              <w:t>Ley 1341 de 2009, en particular, el artículo 36, es</w:t>
            </w:r>
            <w:proofErr w:type="spellStart"/>
            <w:r w:rsidRPr="001514D5">
              <w:rPr>
                <w:rFonts w:eastAsia="Aptos Display" w:cs="Arial"/>
                <w:color w:val="000000" w:themeColor="text1"/>
                <w:sz w:val="22"/>
                <w:szCs w:val="22"/>
                <w:lang w:val="es-CO"/>
              </w:rPr>
              <w:t>tableció</w:t>
            </w:r>
            <w:proofErr w:type="spellEnd"/>
            <w:r w:rsidRPr="001514D5">
              <w:rPr>
                <w:rFonts w:eastAsia="Aptos Display" w:cs="Arial"/>
                <w:color w:val="000000" w:themeColor="text1"/>
                <w:sz w:val="22"/>
                <w:szCs w:val="22"/>
                <w:lang w:val="es-CO"/>
              </w:rPr>
              <w:t xml:space="preserve"> la </w:t>
            </w:r>
            <w:r w:rsidRPr="00AF1492">
              <w:rPr>
                <w:rFonts w:eastAsia="Aptos Display" w:cs="Arial"/>
                <w:bCs/>
                <w:color w:val="000000" w:themeColor="text1"/>
                <w:sz w:val="22"/>
                <w:szCs w:val="22"/>
                <w:lang w:val="es-CO"/>
              </w:rPr>
              <w:t>contraprestación periódica</w:t>
            </w:r>
            <w:r w:rsidRPr="001514D5">
              <w:rPr>
                <w:rFonts w:eastAsia="Aptos Display" w:cs="Arial"/>
                <w:color w:val="000000" w:themeColor="text1"/>
                <w:sz w:val="22"/>
                <w:szCs w:val="22"/>
                <w:lang w:val="es-CO"/>
              </w:rPr>
              <w:t xml:space="preserve"> que deben pagar los proveedores de redes y servicios de telecomunicaciones al Fondo Único de TIC por la habilitación general y dispuso mediante los </w:t>
            </w:r>
            <w:r w:rsidRPr="001514D5">
              <w:rPr>
                <w:rFonts w:eastAsia="Aptos Display" w:cs="Arial"/>
                <w:color w:val="000000" w:themeColor="text1"/>
                <w:sz w:val="22"/>
                <w:szCs w:val="22"/>
                <w:lang w:val="es"/>
              </w:rPr>
              <w:t xml:space="preserve">parágrafos transitorios primero, segundo, tercero y cuarto la exoneración </w:t>
            </w:r>
            <w:r w:rsidRPr="001514D5">
              <w:rPr>
                <w:rFonts w:eastAsia="Aptos Display" w:cs="Arial"/>
                <w:color w:val="000000" w:themeColor="text1"/>
                <w:sz w:val="22"/>
                <w:szCs w:val="22"/>
                <w:lang w:val="es-CO"/>
              </w:rPr>
              <w:t>en el pago de la contraprestación periódica.</w:t>
            </w:r>
          </w:p>
          <w:p w:rsidRPr="001514D5" w:rsidR="001514D5" w:rsidP="00C2408F" w:rsidRDefault="001514D5" w14:paraId="70339462" w14:textId="77777777">
            <w:pPr>
              <w:pStyle w:val="Prrafodelista"/>
              <w:autoSpaceDE w:val="0"/>
              <w:autoSpaceDN w:val="0"/>
              <w:adjustRightInd w:val="0"/>
              <w:ind w:left="360" w:right="142"/>
              <w:jc w:val="both"/>
              <w:rPr>
                <w:rFonts w:eastAsia="Aptos Display" w:cs="Arial"/>
                <w:color w:val="000000" w:themeColor="text1"/>
                <w:sz w:val="22"/>
                <w:szCs w:val="22"/>
                <w:lang w:val="es-CO"/>
              </w:rPr>
            </w:pPr>
          </w:p>
          <w:p w:rsidR="002E4A97" w:rsidP="00C2408F" w:rsidRDefault="6379F522" w14:paraId="70F05A5A" w14:textId="5A4C59E5">
            <w:pPr>
              <w:pStyle w:val="Prrafodelista"/>
              <w:autoSpaceDE w:val="0"/>
              <w:autoSpaceDN w:val="0"/>
              <w:adjustRightInd w:val="0"/>
              <w:ind w:left="360" w:right="142"/>
              <w:jc w:val="both"/>
              <w:rPr>
                <w:rFonts w:eastAsia="Aptos Display" w:cs="Arial"/>
                <w:color w:val="000000" w:themeColor="text1"/>
                <w:sz w:val="22"/>
                <w:szCs w:val="22"/>
                <w:lang w:val="es-CO"/>
              </w:rPr>
            </w:pPr>
            <w:r w:rsidRPr="7D997820">
              <w:rPr>
                <w:rFonts w:eastAsia="Aptos Display" w:cs="Arial"/>
                <w:color w:val="000000" w:themeColor="text1"/>
                <w:sz w:val="22"/>
                <w:szCs w:val="22"/>
                <w:lang w:val="es-CO"/>
              </w:rPr>
              <w:t xml:space="preserve">La Ley 1978 de 2019 </w:t>
            </w:r>
            <w:r w:rsidRPr="00AF1492">
              <w:rPr>
                <w:rFonts w:eastAsia="Aptos Display" w:cs="Arial"/>
                <w:i/>
                <w:iCs/>
                <w:color w:val="000000" w:themeColor="text1"/>
                <w:sz w:val="22"/>
                <w:szCs w:val="22"/>
                <w:lang w:val="es-CO"/>
              </w:rPr>
              <w:t>“Por la cual se moderniza el sector de las Tecnologías de la Información y las Comunicaciones (TIC), se distribuyen competencias, se crea un regulador único y se dictan otras disposiciones.”</w:t>
            </w:r>
            <w:r w:rsidRPr="7D997820">
              <w:rPr>
                <w:rFonts w:eastAsia="Aptos Display" w:cs="Arial"/>
                <w:color w:val="000000" w:themeColor="text1"/>
                <w:sz w:val="22"/>
                <w:szCs w:val="22"/>
                <w:lang w:val="es-CO"/>
              </w:rPr>
              <w:t xml:space="preserve"> Dispuso en su artículo 23, la inclusión del parágrafo transitorio del artículo 36 de la </w:t>
            </w:r>
            <w:r w:rsidR="00AF1492">
              <w:rPr>
                <w:rFonts w:eastAsia="Aptos Display" w:cs="Arial"/>
                <w:color w:val="000000" w:themeColor="text1"/>
                <w:sz w:val="22"/>
                <w:szCs w:val="22"/>
                <w:lang w:val="es-CO"/>
              </w:rPr>
              <w:t>L</w:t>
            </w:r>
            <w:r w:rsidRPr="7D997820">
              <w:rPr>
                <w:rFonts w:eastAsia="Aptos Display" w:cs="Arial"/>
                <w:color w:val="000000" w:themeColor="text1"/>
                <w:sz w:val="22"/>
                <w:szCs w:val="22"/>
                <w:lang w:val="es-CO"/>
              </w:rPr>
              <w:t>ey 1341 de 2009 a fin de exceptuar del pago de la contraprestación periódica a los operadores del servicio de televisión comunitaria por (5) años contados desde la entrada en vigor de la reglamentación expedida por el Gobierno nacional, para promover la masificación del acceso a Internet en todo el territorio nacional.</w:t>
            </w:r>
          </w:p>
          <w:p w:rsidR="00001B4A" w:rsidP="00C2408F" w:rsidRDefault="00001B4A" w14:paraId="777CA9CE" w14:textId="77777777">
            <w:pPr>
              <w:pStyle w:val="Prrafodelista"/>
              <w:autoSpaceDE w:val="0"/>
              <w:autoSpaceDN w:val="0"/>
              <w:adjustRightInd w:val="0"/>
              <w:ind w:left="360" w:right="142"/>
              <w:jc w:val="both"/>
              <w:rPr>
                <w:rFonts w:eastAsia="Aptos Display" w:cs="Arial"/>
                <w:color w:val="000000" w:themeColor="text1"/>
                <w:sz w:val="22"/>
                <w:szCs w:val="22"/>
                <w:lang w:val="es-CO"/>
              </w:rPr>
            </w:pPr>
          </w:p>
          <w:p w:rsidR="00001B4A" w:rsidP="00001B4A" w:rsidRDefault="00001B4A" w14:paraId="1615A0FA" w14:textId="77777777">
            <w:pPr>
              <w:pStyle w:val="Prrafodelista"/>
              <w:tabs>
                <w:tab w:val="left" w:pos="8789"/>
              </w:tabs>
              <w:autoSpaceDE w:val="0"/>
              <w:autoSpaceDN w:val="0"/>
              <w:adjustRightInd w:val="0"/>
              <w:ind w:left="360" w:right="142"/>
              <w:jc w:val="both"/>
              <w:rPr>
                <w:rFonts w:eastAsia="Aptos Display" w:cs="Arial"/>
                <w:color w:val="000000" w:themeColor="text1"/>
                <w:sz w:val="22"/>
                <w:szCs w:val="22"/>
                <w:lang w:val="es-CO"/>
              </w:rPr>
            </w:pPr>
            <w:r w:rsidRPr="001514D5">
              <w:rPr>
                <w:rFonts w:eastAsia="Aptos Display" w:cs="Arial"/>
                <w:color w:val="000000" w:themeColor="text1"/>
                <w:sz w:val="22"/>
                <w:szCs w:val="22"/>
                <w:lang w:val="es-CO"/>
              </w:rPr>
              <w:t xml:space="preserve">Mediante el </w:t>
            </w:r>
            <w:hyperlink r:id="rId11">
              <w:r w:rsidRPr="001514D5">
                <w:rPr>
                  <w:rStyle w:val="Hipervnculo"/>
                  <w:rFonts w:eastAsia="Aptos Display" w:cs="Arial"/>
                  <w:color w:val="000000" w:themeColor="text1"/>
                  <w:sz w:val="22"/>
                  <w:szCs w:val="22"/>
                  <w:u w:val="none"/>
                  <w:lang w:val="es-CO"/>
                </w:rPr>
                <w:t>Decreto 1419 del 3 de noviembre de 2020</w:t>
              </w:r>
            </w:hyperlink>
            <w:r w:rsidRPr="001514D5">
              <w:rPr>
                <w:rFonts w:eastAsia="Aptos Display" w:cs="Arial"/>
                <w:color w:val="000000" w:themeColor="text1"/>
                <w:sz w:val="22"/>
                <w:szCs w:val="22"/>
                <w:vertAlign w:val="superscript"/>
                <w:lang w:val="es-CO"/>
              </w:rPr>
              <w:t>1</w:t>
            </w:r>
            <w:r w:rsidRPr="001514D5">
              <w:rPr>
                <w:rFonts w:eastAsia="Aptos Display" w:cs="Arial"/>
                <w:color w:val="000000" w:themeColor="text1"/>
                <w:sz w:val="22"/>
                <w:szCs w:val="22"/>
                <w:lang w:val="es-CO"/>
              </w:rPr>
              <w:t xml:space="preserve"> se reglamentó el</w:t>
            </w:r>
            <w:r w:rsidRPr="001514D5">
              <w:rPr>
                <w:rFonts w:eastAsia="Aptos Display" w:cs="Arial"/>
                <w:b/>
                <w:color w:val="000000" w:themeColor="text1"/>
                <w:sz w:val="22"/>
                <w:szCs w:val="22"/>
                <w:lang w:val="es-CO"/>
              </w:rPr>
              <w:t xml:space="preserve"> parágrafo transitorio primero</w:t>
            </w:r>
            <w:r w:rsidRPr="001514D5">
              <w:rPr>
                <w:rFonts w:eastAsia="Aptos Display" w:cs="Arial"/>
                <w:color w:val="000000" w:themeColor="text1"/>
                <w:sz w:val="22"/>
                <w:szCs w:val="22"/>
                <w:lang w:val="es-CO"/>
              </w:rPr>
              <w:t xml:space="preserve">, definiendo las condiciones para exceptuar del pago de contraprestación periódica a los operadores de televisión comunitaria para proveer el acceso a Internet; entre estos requisitos se encuentran, acogerse al régimen de habilitación general (registro único de TIC) y aportar un plan de inversiones. Es importante mencionar que, en virtud del presente Decreto, la excepción se aplicará a partir de la firmeza del acto administrativo que apruebe el plan, y durante el periodo comprendido entre dicha aprobación y el término que, en ese momento, restare de los cinco (5) años contados desde la vigencia del presente Decreto, esto es hasta el 3 de noviembre de 2025. </w:t>
            </w:r>
          </w:p>
          <w:p w:rsidRPr="001514D5" w:rsidR="001514D5" w:rsidP="7D997820" w:rsidRDefault="001514D5" w14:paraId="49A602B0" w14:textId="4AB718EC">
            <w:pPr>
              <w:pStyle w:val="Prrafodelista"/>
              <w:ind w:left="360" w:right="142"/>
              <w:jc w:val="both"/>
              <w:rPr>
                <w:rFonts w:eastAsia="Aptos Display" w:cs="Arial"/>
                <w:color w:val="000000" w:themeColor="text1"/>
                <w:sz w:val="22"/>
                <w:szCs w:val="22"/>
                <w:lang w:val="es-CO"/>
              </w:rPr>
            </w:pPr>
          </w:p>
          <w:p w:rsidR="001514D5" w:rsidP="7D997820" w:rsidRDefault="42BA7F3D" w14:paraId="194E6E5E" w14:textId="7691096D">
            <w:pPr>
              <w:pStyle w:val="Prrafodelista"/>
              <w:ind w:left="360" w:right="142"/>
              <w:jc w:val="both"/>
              <w:rPr>
                <w:rFonts w:eastAsia="Aptos Display" w:cs="Arial"/>
                <w:color w:val="000000" w:themeColor="text1"/>
                <w:sz w:val="22"/>
                <w:szCs w:val="22"/>
                <w:lang w:val="es-CO"/>
              </w:rPr>
            </w:pPr>
            <w:r w:rsidRPr="7D997820">
              <w:rPr>
                <w:rFonts w:eastAsia="Aptos Display" w:cs="Arial"/>
                <w:color w:val="000000" w:themeColor="text1"/>
                <w:sz w:val="22"/>
                <w:szCs w:val="22"/>
                <w:lang w:val="es-CO"/>
              </w:rPr>
              <w:t xml:space="preserve">Por su parte, la Ley 2108 de 2021 </w:t>
            </w:r>
            <w:r w:rsidRPr="00FB3667">
              <w:rPr>
                <w:rFonts w:eastAsia="Aptos Display" w:cs="Arial"/>
                <w:i/>
                <w:iCs/>
                <w:color w:val="000000" w:themeColor="text1"/>
                <w:sz w:val="22"/>
                <w:szCs w:val="22"/>
                <w:lang w:val="es-CO"/>
              </w:rPr>
              <w:t>“Ley de Internet como servicio público esencial y universal”</w:t>
            </w:r>
            <w:r w:rsidRPr="7D997820">
              <w:rPr>
                <w:rFonts w:eastAsia="Aptos Display" w:cs="Arial"/>
                <w:color w:val="000000" w:themeColor="text1"/>
                <w:sz w:val="22"/>
                <w:szCs w:val="22"/>
                <w:lang w:val="es-CO"/>
              </w:rPr>
              <w:t xml:space="preserve"> o por medio de la cual se modifica la Ley 1341 de 2009 y se dictan otras disposiciones”, incorporó mediante el artículo 11 el parágrafo transitorio segundo al </w:t>
            </w:r>
            <w:r w:rsidRPr="7D997820">
              <w:rPr>
                <w:rFonts w:eastAsia="Aptos Display" w:cs="Arial"/>
                <w:color w:val="000000" w:themeColor="text1"/>
                <w:sz w:val="22"/>
                <w:szCs w:val="22"/>
                <w:lang w:val="es"/>
              </w:rPr>
              <w:t>artículo 36 de la ley 1341 de 2009</w:t>
            </w:r>
            <w:r w:rsidRPr="7D997820">
              <w:rPr>
                <w:rFonts w:eastAsia="Aptos Display" w:cs="Arial"/>
                <w:color w:val="000000" w:themeColor="text1"/>
                <w:sz w:val="22"/>
                <w:szCs w:val="22"/>
                <w:lang w:val="es-CO"/>
              </w:rPr>
              <w:t xml:space="preserve">, con el fin de exceptuar a los proveedores de redes y servicios de telecomunicaciones que proveen </w:t>
            </w:r>
            <w:r w:rsidRPr="00FB3667">
              <w:rPr>
                <w:rFonts w:eastAsia="Aptos Display" w:cs="Arial"/>
                <w:b/>
                <w:bCs/>
                <w:color w:val="000000" w:themeColor="text1"/>
                <w:sz w:val="22"/>
                <w:szCs w:val="22"/>
                <w:lang w:val="es-CO"/>
              </w:rPr>
              <w:t>el servicio de acceso Internet fijo residencial minorista</w:t>
            </w:r>
            <w:r w:rsidRPr="7D997820">
              <w:rPr>
                <w:rFonts w:eastAsia="Aptos Display" w:cs="Arial"/>
                <w:b/>
                <w:bCs/>
                <w:color w:val="000000" w:themeColor="text1"/>
                <w:sz w:val="22"/>
                <w:szCs w:val="22"/>
                <w:lang w:val="es-CO"/>
              </w:rPr>
              <w:t xml:space="preserve"> </w:t>
            </w:r>
            <w:r w:rsidRPr="7D997820">
              <w:rPr>
                <w:rFonts w:eastAsia="Aptos Display" w:cs="Arial"/>
                <w:color w:val="000000" w:themeColor="text1"/>
                <w:sz w:val="22"/>
                <w:szCs w:val="22"/>
                <w:lang w:val="es-CO"/>
              </w:rPr>
              <w:t>del pago de la contraprestación periódica a favor del Fondo Único de Tecnologías de la Información y las Comunicaciones, por cinco (5) años contados a partir de la aprobación del plan de inversión.</w:t>
            </w:r>
          </w:p>
          <w:p w:rsidR="00A73B61" w:rsidP="7D997820" w:rsidRDefault="00A73B61" w14:paraId="1565DAC3" w14:textId="77777777">
            <w:pPr>
              <w:pStyle w:val="Prrafodelista"/>
              <w:ind w:left="360" w:right="142"/>
              <w:jc w:val="both"/>
              <w:rPr>
                <w:rFonts w:eastAsia="Aptos Display" w:cs="Arial"/>
                <w:color w:val="000000" w:themeColor="text1"/>
                <w:sz w:val="22"/>
                <w:szCs w:val="22"/>
                <w:lang w:val="es-CO"/>
              </w:rPr>
            </w:pPr>
          </w:p>
          <w:p w:rsidR="00A73B61" w:rsidP="00A73B61" w:rsidRDefault="00A73B61" w14:paraId="1F51AE46" w14:textId="5539AD5E">
            <w:pPr>
              <w:pStyle w:val="Prrafodelista"/>
              <w:ind w:left="360" w:right="142"/>
              <w:jc w:val="both"/>
              <w:rPr>
                <w:rFonts w:eastAsia="Aptos Display" w:cs="Arial"/>
                <w:color w:val="000000" w:themeColor="text1"/>
                <w:sz w:val="22"/>
                <w:szCs w:val="22"/>
                <w:lang w:val="es-CO"/>
              </w:rPr>
            </w:pPr>
            <w:r w:rsidRPr="01C26F8B" w:rsidR="00A73B61">
              <w:rPr>
                <w:rFonts w:eastAsia="Aptos Display" w:cs="Arial"/>
                <w:color w:val="000000" w:themeColor="text1" w:themeTint="FF" w:themeShade="FF"/>
                <w:sz w:val="22"/>
                <w:szCs w:val="22"/>
                <w:lang w:val="es-CO"/>
              </w:rPr>
              <w:t xml:space="preserve">Mediante </w:t>
            </w:r>
            <w:r w:rsidRPr="01C26F8B" w:rsidR="5B6B4A6A">
              <w:rPr>
                <w:rFonts w:eastAsia="Aptos Display" w:cs="Arial"/>
                <w:color w:val="000000" w:themeColor="text1" w:themeTint="FF" w:themeShade="FF"/>
                <w:sz w:val="22"/>
                <w:szCs w:val="22"/>
                <w:lang w:val="es-CO"/>
              </w:rPr>
              <w:t>R</w:t>
            </w:r>
            <w:r w:rsidRPr="01C26F8B" w:rsidR="00A73B61">
              <w:rPr>
                <w:rFonts w:eastAsia="Aptos Display" w:cs="Arial"/>
                <w:color w:val="000000" w:themeColor="text1" w:themeTint="FF" w:themeShade="FF"/>
                <w:sz w:val="22"/>
                <w:szCs w:val="22"/>
                <w:lang w:val="es-CO"/>
              </w:rPr>
              <w:t xml:space="preserve">esolución 3401 de 2021 fue reglamentado el </w:t>
            </w:r>
            <w:r w:rsidRPr="01C26F8B" w:rsidR="00A73B61">
              <w:rPr>
                <w:rFonts w:eastAsia="Aptos Display" w:cs="Arial"/>
                <w:b w:val="1"/>
                <w:bCs w:val="1"/>
                <w:color w:val="000000" w:themeColor="text1" w:themeTint="FF" w:themeShade="FF"/>
                <w:sz w:val="22"/>
                <w:szCs w:val="22"/>
                <w:lang w:val="es-CO"/>
              </w:rPr>
              <w:t>parágrafo transitorio segundo</w:t>
            </w:r>
            <w:r w:rsidRPr="01C26F8B" w:rsidR="00A73B61">
              <w:rPr>
                <w:rFonts w:eastAsia="Aptos Display" w:cs="Arial"/>
                <w:color w:val="000000" w:themeColor="text1" w:themeTint="FF" w:themeShade="FF"/>
                <w:sz w:val="22"/>
                <w:szCs w:val="22"/>
                <w:lang w:val="es-CO"/>
              </w:rPr>
              <w:t>, estableciendo las condiciones para acceder a dicha excepción, entre estos se encuentra encontrarse incorporados en el Registro Único de TIC y la presentación de un plan de inversiones y actualizaciones tecnológicas.</w:t>
            </w:r>
          </w:p>
          <w:p w:rsidR="00A73B61" w:rsidP="00A73B61" w:rsidRDefault="00A73B61" w14:paraId="1B976542" w14:textId="77777777">
            <w:pPr>
              <w:pStyle w:val="Prrafodelista"/>
              <w:ind w:left="360" w:right="142"/>
              <w:jc w:val="both"/>
              <w:rPr>
                <w:rFonts w:ascii="Arial Narrow" w:hAnsi="Arial Narrow" w:eastAsia="Arial Narrow" w:cs="Arial Narrow"/>
                <w:sz w:val="24"/>
                <w:szCs w:val="24"/>
                <w:lang w:val="es"/>
              </w:rPr>
            </w:pPr>
          </w:p>
          <w:p w:rsidRPr="00A73B61" w:rsidR="00A73B61" w:rsidP="7D997820" w:rsidRDefault="00A73B61" w14:paraId="5331247D" w14:textId="77777777">
            <w:pPr>
              <w:pStyle w:val="Prrafodelista"/>
              <w:ind w:left="360" w:right="142"/>
              <w:jc w:val="both"/>
              <w:rPr>
                <w:rFonts w:eastAsia="Aptos Display" w:cs="Arial"/>
                <w:color w:val="000000" w:themeColor="text1"/>
                <w:sz w:val="22"/>
                <w:szCs w:val="22"/>
                <w:lang w:val="es"/>
              </w:rPr>
            </w:pPr>
          </w:p>
          <w:p w:rsidRPr="001514D5" w:rsidR="001514D5" w:rsidP="7D997820" w:rsidRDefault="001514D5" w14:paraId="3AD95C52" w14:textId="5E852EFA">
            <w:pPr>
              <w:pStyle w:val="Prrafodelista"/>
              <w:ind w:left="360" w:right="142"/>
              <w:jc w:val="both"/>
              <w:rPr>
                <w:rFonts w:eastAsia="Aptos Display" w:cs="Arial"/>
                <w:color w:val="000000" w:themeColor="text1"/>
                <w:sz w:val="22"/>
                <w:szCs w:val="22"/>
                <w:lang w:val="es-CO"/>
              </w:rPr>
            </w:pPr>
          </w:p>
          <w:p w:rsidRPr="001514D5" w:rsidR="001514D5" w:rsidP="7D997820" w:rsidRDefault="7CFBE70E" w14:paraId="2CA870B9" w14:textId="4B6B4BDF">
            <w:pPr>
              <w:pStyle w:val="Prrafodelista"/>
              <w:ind w:left="360" w:right="142"/>
              <w:jc w:val="both"/>
              <w:rPr>
                <w:rFonts w:eastAsia="Aptos Display" w:cs="Arial"/>
                <w:color w:val="000000" w:themeColor="text1"/>
                <w:sz w:val="22"/>
                <w:szCs w:val="22"/>
                <w:lang w:val="es-CO"/>
              </w:rPr>
            </w:pPr>
            <w:r w:rsidRPr="7D997820">
              <w:rPr>
                <w:rFonts w:eastAsia="Aptos Display" w:cs="Arial"/>
                <w:color w:val="000000" w:themeColor="text1"/>
                <w:sz w:val="22"/>
                <w:szCs w:val="22"/>
                <w:lang w:val="es-CO"/>
              </w:rPr>
              <w:t>Mediante el artículo 149 de la Ley 2294 de 2023 “Por el cual se expide el Plan Nacional de Desarrollo 2022-2026 “Colombia Potencia Mundial de la Vida”, se adicionaron los parágrafos transitorios tercero y cuarto</w:t>
            </w:r>
            <w:r w:rsidRPr="7D997820">
              <w:rPr>
                <w:rFonts w:eastAsia="Aptos Display" w:cs="Arial"/>
                <w:b/>
                <w:bCs/>
                <w:color w:val="000000" w:themeColor="text1"/>
                <w:sz w:val="22"/>
                <w:szCs w:val="22"/>
                <w:lang w:val="es-CO"/>
              </w:rPr>
              <w:t xml:space="preserve">, </w:t>
            </w:r>
            <w:r w:rsidRPr="7D997820">
              <w:rPr>
                <w:rFonts w:eastAsia="Aptos Display" w:cs="Arial"/>
                <w:color w:val="000000" w:themeColor="text1"/>
                <w:sz w:val="22"/>
                <w:szCs w:val="22"/>
                <w:lang w:val="es-CO"/>
              </w:rPr>
              <w:t>a fin de exceptuar del pago de la contraprestación periódica a personas y proveedores de redes y servicios de telecomunicaciones que provean el servicio de acceso a internet fijo residencial minorista, respectivamente.</w:t>
            </w:r>
          </w:p>
          <w:p w:rsidRPr="001514D5" w:rsidR="001514D5" w:rsidP="7D997820" w:rsidRDefault="001514D5" w14:paraId="0FC75BC3" w14:textId="77777777">
            <w:pPr>
              <w:pStyle w:val="Prrafodelista"/>
              <w:ind w:right="142"/>
              <w:rPr>
                <w:rFonts w:eastAsia="Aptos Display" w:cs="Arial"/>
                <w:color w:val="000000" w:themeColor="text1"/>
                <w:sz w:val="22"/>
                <w:szCs w:val="22"/>
                <w:lang w:val="es-CO"/>
              </w:rPr>
            </w:pPr>
          </w:p>
          <w:p w:rsidRPr="001514D5" w:rsidR="001514D5" w:rsidP="7D997820" w:rsidRDefault="7CFBE70E" w14:paraId="59C1691D" w14:textId="4C61BDF9">
            <w:pPr>
              <w:pStyle w:val="Prrafodelista"/>
              <w:ind w:left="360" w:right="142"/>
              <w:jc w:val="both"/>
              <w:rPr>
                <w:rFonts w:eastAsia="Aptos Display" w:cs="Arial"/>
                <w:color w:val="000000" w:themeColor="text1"/>
                <w:sz w:val="22"/>
                <w:szCs w:val="22"/>
                <w:lang w:val="es"/>
              </w:rPr>
            </w:pPr>
            <w:r w:rsidRPr="7D997820">
              <w:rPr>
                <w:rFonts w:eastAsia="Aptos Display" w:cs="Arial"/>
                <w:color w:val="000000" w:themeColor="text1"/>
                <w:sz w:val="22"/>
                <w:szCs w:val="22"/>
                <w:lang w:val="es-CO"/>
              </w:rPr>
              <w:t>Dicho artículo, fue reglamentado por el Decreto 1373 de 2023</w:t>
            </w:r>
            <w:r w:rsidRPr="7D997820">
              <w:rPr>
                <w:rFonts w:eastAsia="Aptos Display" w:cs="Arial"/>
                <w:color w:val="000000" w:themeColor="text1"/>
                <w:sz w:val="22"/>
                <w:szCs w:val="22"/>
                <w:vertAlign w:val="superscript"/>
                <w:lang w:val="es-CO"/>
              </w:rPr>
              <w:t>2</w:t>
            </w:r>
            <w:r w:rsidRPr="7D997820">
              <w:rPr>
                <w:rFonts w:eastAsia="Aptos Display" w:cs="Arial"/>
                <w:color w:val="000000" w:themeColor="text1"/>
                <w:sz w:val="22"/>
                <w:szCs w:val="22"/>
                <w:lang w:val="es"/>
              </w:rPr>
              <w:t>, al respecto, el artículo 2.2.28.2, definió las condiciones para la aplicación de la excepción de pago de la contraprestación periódica única por</w:t>
            </w:r>
            <w:r w:rsidRPr="7D997820">
              <w:rPr>
                <w:rFonts w:eastAsia="Aptos Display" w:cs="Arial"/>
                <w:color w:val="000000" w:themeColor="text1"/>
                <w:sz w:val="22"/>
                <w:szCs w:val="22"/>
                <w:lang w:val="es-CO"/>
              </w:rPr>
              <w:t xml:space="preserve"> cinco (5) para las </w:t>
            </w:r>
            <w:r w:rsidRPr="00FB3667">
              <w:rPr>
                <w:rFonts w:eastAsia="Aptos Display" w:cs="Arial"/>
                <w:b/>
                <w:bCs/>
                <w:color w:val="000000" w:themeColor="text1"/>
                <w:sz w:val="22"/>
                <w:szCs w:val="22"/>
                <w:lang w:val="es-CO"/>
              </w:rPr>
              <w:t>personas</w:t>
            </w:r>
            <w:r w:rsidRPr="7D997820">
              <w:rPr>
                <w:rFonts w:eastAsia="Aptos Display" w:cs="Arial"/>
                <w:color w:val="000000" w:themeColor="text1"/>
                <w:sz w:val="22"/>
                <w:szCs w:val="22"/>
                <w:lang w:val="es-CO"/>
              </w:rPr>
              <w:t xml:space="preserve"> que se incorporen al Registro Único de TIC, dicha excepción se cuenta desde la fecha en la cual queden incorporados en el mencionado Registro </w:t>
            </w:r>
            <w:r w:rsidRPr="7D997820">
              <w:rPr>
                <w:rFonts w:eastAsia="Aptos Display" w:cs="Arial"/>
                <w:b/>
                <w:bCs/>
                <w:color w:val="000000" w:themeColor="text1"/>
                <w:sz w:val="22"/>
                <w:szCs w:val="22"/>
                <w:lang w:val="es"/>
              </w:rPr>
              <w:t>(parágrafo transitorio tercero)</w:t>
            </w:r>
            <w:r w:rsidRPr="7D997820">
              <w:rPr>
                <w:rFonts w:eastAsia="Aptos Display" w:cs="Arial"/>
                <w:color w:val="000000" w:themeColor="text1"/>
                <w:sz w:val="22"/>
                <w:szCs w:val="22"/>
                <w:lang w:val="es"/>
              </w:rPr>
              <w:t xml:space="preserve">. </w:t>
            </w:r>
          </w:p>
          <w:p w:rsidRPr="001514D5" w:rsidR="001514D5" w:rsidP="7D997820" w:rsidRDefault="001514D5" w14:paraId="5890796A" w14:textId="77777777">
            <w:pPr>
              <w:pStyle w:val="Prrafodelista"/>
              <w:ind w:right="142"/>
              <w:rPr>
                <w:rFonts w:eastAsia="Aptos Display" w:cs="Arial"/>
                <w:color w:val="000000" w:themeColor="text1"/>
                <w:sz w:val="22"/>
                <w:szCs w:val="22"/>
                <w:lang w:val="es"/>
              </w:rPr>
            </w:pPr>
          </w:p>
          <w:p w:rsidRPr="001514D5" w:rsidR="001514D5" w:rsidP="7D997820" w:rsidRDefault="7CFBE70E" w14:paraId="1BAF9E1B" w14:textId="43BF4908">
            <w:pPr>
              <w:pStyle w:val="Prrafodelista"/>
              <w:ind w:left="360" w:right="142"/>
              <w:jc w:val="both"/>
              <w:rPr>
                <w:rFonts w:eastAsia="Aptos Display" w:cs="Arial"/>
                <w:color w:val="000000" w:themeColor="text1"/>
                <w:sz w:val="22"/>
                <w:szCs w:val="22"/>
                <w:lang w:val="es-CO"/>
              </w:rPr>
            </w:pPr>
            <w:r w:rsidRPr="62885058">
              <w:rPr>
                <w:rFonts w:eastAsia="Aptos Display" w:cs="Arial"/>
                <w:color w:val="000000" w:themeColor="text1"/>
                <w:sz w:val="22"/>
                <w:szCs w:val="22"/>
                <w:lang w:val="es"/>
              </w:rPr>
              <w:t>A su turno, el artículo 2.2.28.3 dispuso las condiciones para aplicación de la excepción de pago de la contraprestación periódica única a los PRST, entre las que se destacan, n</w:t>
            </w:r>
            <w:r w:rsidRPr="62885058">
              <w:rPr>
                <w:rFonts w:eastAsia="Aptos Display" w:cs="Arial"/>
                <w:color w:val="000000" w:themeColor="text1"/>
                <w:sz w:val="22"/>
                <w:szCs w:val="22"/>
                <w:lang w:val="es-CO"/>
              </w:rPr>
              <w:t>o estar o haber sido exceptuado del pago de la contraprestación periódica en virtud del parágrafo transitorio dos del artículo 36 de la Ley 1341 de 2009, y presentar un plan de inversiones</w:t>
            </w:r>
            <w:r w:rsidRPr="62885058" w:rsidR="67D21907">
              <w:rPr>
                <w:rFonts w:eastAsia="Aptos Display" w:cs="Arial"/>
                <w:color w:val="000000" w:themeColor="text1"/>
                <w:sz w:val="22"/>
                <w:szCs w:val="22"/>
                <w:lang w:val="es-CO"/>
              </w:rPr>
              <w:t>.</w:t>
            </w:r>
          </w:p>
          <w:p w:rsidR="62885058" w:rsidP="62885058" w:rsidRDefault="62885058" w14:paraId="1D67CE63" w14:textId="0D9400D1">
            <w:pPr>
              <w:ind w:right="142"/>
              <w:jc w:val="both"/>
              <w:rPr>
                <w:rFonts w:eastAsia="Aptos Display" w:cs="Arial"/>
                <w:color w:val="000000" w:themeColor="text1"/>
                <w:sz w:val="22"/>
                <w:szCs w:val="22"/>
                <w:lang w:val="es-CO"/>
              </w:rPr>
            </w:pPr>
          </w:p>
          <w:p w:rsidR="3BD3E69C" w:rsidP="62885058" w:rsidRDefault="0014009F" w14:paraId="166FFA65" w14:textId="03AF9AA2">
            <w:pPr>
              <w:pStyle w:val="Prrafodelista"/>
              <w:ind w:left="360" w:right="142"/>
              <w:jc w:val="both"/>
              <w:rPr>
                <w:rFonts w:eastAsia="Aptos Display" w:cs="Arial"/>
                <w:color w:val="000000" w:themeColor="text1"/>
                <w:sz w:val="22"/>
                <w:szCs w:val="22"/>
                <w:lang w:val="es"/>
              </w:rPr>
            </w:pPr>
            <w:r w:rsidRPr="0014009F">
              <w:rPr>
                <w:rFonts w:eastAsia="Aptos Display" w:cs="Arial"/>
                <w:color w:val="000000" w:themeColor="text1"/>
                <w:sz w:val="22"/>
                <w:szCs w:val="22"/>
                <w:lang w:val="es"/>
              </w:rPr>
              <w:t>Los proveedores de redes y servicios de telecomunicaciones beneficiarios de las exenciones prestan un servicio de índole público que, por tanto, está bajo la reglamentación, vigilancia, inspección y control del Ministerio de Tecnologías de la Información y las Comunicaciones, en virtud de sus competencias legales</w:t>
            </w:r>
            <w:r w:rsidRPr="62885058" w:rsidR="3BD3E69C">
              <w:rPr>
                <w:rFonts w:eastAsia="Aptos Display" w:cs="Arial"/>
                <w:color w:val="000000" w:themeColor="text1"/>
                <w:sz w:val="22"/>
                <w:szCs w:val="22"/>
                <w:lang w:val="es"/>
              </w:rPr>
              <w:t>.</w:t>
            </w:r>
          </w:p>
          <w:p w:rsidR="62885058" w:rsidP="62885058" w:rsidRDefault="62885058" w14:paraId="0F2B5831" w14:textId="0404A13F">
            <w:pPr>
              <w:pStyle w:val="Prrafodelista"/>
              <w:ind w:left="360" w:right="142"/>
              <w:jc w:val="both"/>
              <w:rPr>
                <w:rFonts w:eastAsia="Aptos Display" w:cs="Arial"/>
                <w:color w:val="000000" w:themeColor="text1"/>
                <w:sz w:val="22"/>
                <w:szCs w:val="22"/>
                <w:lang w:val="es"/>
              </w:rPr>
            </w:pPr>
          </w:p>
          <w:p w:rsidR="62885058" w:rsidP="62885058" w:rsidRDefault="0032015D" w14:paraId="7B4100E1" w14:textId="1BFEB412">
            <w:pPr>
              <w:pStyle w:val="Prrafodelista"/>
              <w:ind w:left="360" w:right="142"/>
              <w:jc w:val="both"/>
              <w:rPr>
                <w:rFonts w:eastAsia="Aptos Display" w:cs="Arial"/>
                <w:color w:val="000000" w:themeColor="text1"/>
                <w:sz w:val="22"/>
                <w:szCs w:val="22"/>
                <w:lang w:val="es"/>
              </w:rPr>
            </w:pPr>
            <w:r w:rsidRPr="0032015D">
              <w:rPr>
                <w:rFonts w:eastAsia="Aptos Display" w:cs="Arial"/>
                <w:color w:val="000000" w:themeColor="text1"/>
                <w:sz w:val="22"/>
                <w:szCs w:val="22"/>
                <w:lang w:val="es"/>
              </w:rPr>
              <w:t xml:space="preserve">En ese contexto, el cumplimiento de los planes de inversión aprobados o que se aprueben en el marco de la excepción de pago de la contraprestación periódica prevista en los parágrafos transitorios del artículo 36 de la Ley 1341 de 2009, constituye una obligación de interés público, en tanto se relaciona directamente con la adecuada prestación del servicio público esencial de telecomunicaciones y con la garantía de su masificación y cobertura. </w:t>
            </w:r>
          </w:p>
          <w:p w:rsidR="0032015D" w:rsidP="62885058" w:rsidRDefault="0032015D" w14:paraId="0AD81F30" w14:textId="77777777">
            <w:pPr>
              <w:pStyle w:val="Prrafodelista"/>
              <w:ind w:left="360" w:right="142"/>
              <w:jc w:val="both"/>
              <w:rPr>
                <w:rFonts w:eastAsia="Aptos Display" w:cs="Arial"/>
                <w:color w:val="000000" w:themeColor="text1"/>
                <w:sz w:val="22"/>
                <w:szCs w:val="22"/>
                <w:lang w:val="es-CO"/>
              </w:rPr>
            </w:pPr>
          </w:p>
          <w:p w:rsidR="62885058" w:rsidP="62885058" w:rsidRDefault="00E243E8" w14:paraId="133491FD" w14:textId="2C7BDF57">
            <w:pPr>
              <w:pStyle w:val="Prrafodelista"/>
              <w:ind w:left="360" w:right="142"/>
              <w:jc w:val="both"/>
              <w:rPr>
                <w:rFonts w:eastAsia="Aptos Display" w:cs="Arial"/>
                <w:color w:val="000000" w:themeColor="text1"/>
                <w:sz w:val="22"/>
                <w:szCs w:val="22"/>
                <w:lang w:val="es-CO"/>
              </w:rPr>
            </w:pPr>
            <w:r w:rsidRPr="00E243E8">
              <w:rPr>
                <w:rFonts w:eastAsia="Aptos Display" w:cs="Arial"/>
                <w:color w:val="000000" w:themeColor="text1"/>
                <w:sz w:val="22"/>
                <w:szCs w:val="22"/>
                <w:lang w:val="es-CO"/>
              </w:rPr>
              <w:t>Por lo anterior, los planes de inversión deben ejecutarse conforme a los principios de eficacia, eficiencia y responsabilidad consagrados en el artículo 209 la Constitución Política, bajo la supervisión del Ministerio de Tecnologías de la Información y las Comunicaciones, quien debe velar por su correcta ejecución en términos de calidad, continuidad y oportunidad, con el fin de garantizar que los recursos que dejarán de ser pagados por los PRST al Fondo Único de Tecnologías de la Información y las Comunicaciones, en virtud y en el marco de las excepciones de que tratan los aludidos parágrafos transitorios 2, 3 y 4 del artículo 36 de la Ley 1341 de 2009, sean verdaderamente invertidos por esos PRST en beneficio de sus usuarios, de manera que se logre la maximización del bienestar social que es el fin último de esos parágrafos transitorios</w:t>
            </w:r>
          </w:p>
          <w:p w:rsidR="00E243E8" w:rsidP="62885058" w:rsidRDefault="00E243E8" w14:paraId="5CD9FCDA" w14:textId="77777777">
            <w:pPr>
              <w:pStyle w:val="Prrafodelista"/>
              <w:ind w:left="360" w:right="142"/>
              <w:jc w:val="both"/>
              <w:rPr>
                <w:rFonts w:eastAsia="Aptos Display" w:cs="Arial"/>
                <w:color w:val="000000" w:themeColor="text1"/>
                <w:sz w:val="22"/>
                <w:szCs w:val="22"/>
                <w:lang w:val="es-CO"/>
              </w:rPr>
            </w:pPr>
          </w:p>
          <w:p w:rsidR="77C38906" w:rsidP="62885058" w:rsidRDefault="77C38906" w14:paraId="41023EF8" w14:textId="0DB13717">
            <w:pPr>
              <w:pStyle w:val="Prrafodelista"/>
              <w:ind w:left="360" w:right="142"/>
              <w:jc w:val="both"/>
              <w:rPr>
                <w:rFonts w:eastAsia="Aptos Display" w:cs="Arial"/>
                <w:color w:val="000000" w:themeColor="text1"/>
                <w:sz w:val="22"/>
                <w:szCs w:val="22"/>
                <w:lang w:val="es-CO"/>
              </w:rPr>
            </w:pPr>
            <w:r w:rsidRPr="62885058">
              <w:rPr>
                <w:rFonts w:eastAsia="Aptos Display" w:cs="Arial"/>
                <w:color w:val="000000" w:themeColor="text1"/>
                <w:sz w:val="22"/>
                <w:szCs w:val="22"/>
                <w:lang w:val="es-CO"/>
              </w:rPr>
              <w:t>A su vez, el plan de inversiones representa una herramienta fundamental para garantizar que las personas o Proveedores de Redes y Servicios de Telecomunicaciones (PRST) que soliciten la excepción antes mencionada y se encuentren comprometidos con el despliegue y ampliación de infraestructura en zonas del país con necesidades de conectividad, realicen una planificación técnica, territorial y financiera clara, estructurada y verificable.</w:t>
            </w:r>
          </w:p>
          <w:p w:rsidR="62885058" w:rsidP="62885058" w:rsidRDefault="62885058" w14:paraId="2944EACE" w14:textId="77777777">
            <w:pPr>
              <w:pStyle w:val="Prrafodelista"/>
              <w:ind w:left="360" w:right="142"/>
              <w:jc w:val="both"/>
              <w:rPr>
                <w:rFonts w:eastAsia="Aptos Display" w:cs="Arial"/>
                <w:color w:val="000000" w:themeColor="text1"/>
                <w:sz w:val="22"/>
                <w:szCs w:val="22"/>
                <w:lang w:val="es-CO"/>
              </w:rPr>
            </w:pPr>
          </w:p>
          <w:p w:rsidR="77C38906" w:rsidP="62885058" w:rsidRDefault="77C38906" w14:paraId="0AF3D29F" w14:textId="69007280">
            <w:pPr>
              <w:pStyle w:val="Prrafodelista"/>
              <w:ind w:left="360" w:right="142"/>
              <w:jc w:val="both"/>
              <w:rPr>
                <w:rFonts w:eastAsia="Aptos Display" w:cs="Arial"/>
                <w:color w:val="000000" w:themeColor="text1"/>
                <w:sz w:val="22"/>
                <w:szCs w:val="22"/>
                <w:lang w:val="es-CO"/>
              </w:rPr>
            </w:pPr>
            <w:r w:rsidRPr="62885058">
              <w:rPr>
                <w:rFonts w:eastAsia="Aptos Display" w:cs="Arial"/>
                <w:color w:val="000000" w:themeColor="text1"/>
                <w:sz w:val="22"/>
                <w:szCs w:val="22"/>
                <w:lang w:val="es-CO"/>
              </w:rPr>
              <w:t xml:space="preserve">Este plan de inversiones no solo permite al Ministerio de Tecnologías de la Información y las Comunicaciones hacer seguimiento al cumplimiento de los compromisos adquiridos por los PRST que acceden a la excepción del pago de la contraprestación periódica única, sino que  asegura que los recursos públicos asociados a este beneficio sean efectivamente compensados con inversiones </w:t>
            </w:r>
            <w:r w:rsidRPr="62885058">
              <w:rPr>
                <w:rFonts w:eastAsia="Aptos Display" w:cs="Arial"/>
                <w:color w:val="000000" w:themeColor="text1"/>
                <w:sz w:val="22"/>
                <w:szCs w:val="22"/>
                <w:lang w:val="es-CO"/>
              </w:rPr>
              <w:t>que contribuyan a cerrar la brecha digital, mejorar la calidad del servicio y garantizar el acceso a Internet fijo residencial Minorista en regiones del país.</w:t>
            </w:r>
          </w:p>
          <w:p w:rsidR="62885058" w:rsidP="62885058" w:rsidRDefault="62885058" w14:paraId="2950DA60" w14:textId="3090AA76">
            <w:pPr>
              <w:pStyle w:val="Prrafodelista"/>
              <w:ind w:left="360" w:right="142"/>
              <w:jc w:val="both"/>
              <w:rPr>
                <w:rFonts w:eastAsia="Aptos Display" w:cs="Arial"/>
                <w:color w:val="000000" w:themeColor="text1"/>
                <w:sz w:val="22"/>
                <w:szCs w:val="22"/>
                <w:lang w:val="es-CO"/>
              </w:rPr>
            </w:pPr>
          </w:p>
          <w:p w:rsidRPr="001D02B3" w:rsidR="001D02B3" w:rsidP="001D02B3" w:rsidRDefault="001D02B3" w14:paraId="4FCA94B9" w14:textId="77777777">
            <w:pPr>
              <w:pStyle w:val="Prrafodelista"/>
              <w:autoSpaceDE w:val="0"/>
              <w:autoSpaceDN w:val="0"/>
              <w:adjustRightInd w:val="0"/>
              <w:ind w:left="360" w:right="142"/>
              <w:jc w:val="both"/>
              <w:rPr>
                <w:rFonts w:eastAsia="Aptos Display" w:cs="Arial"/>
                <w:color w:val="000000" w:themeColor="text1"/>
                <w:sz w:val="22"/>
                <w:szCs w:val="22"/>
              </w:rPr>
            </w:pPr>
            <w:r w:rsidRPr="001D02B3">
              <w:rPr>
                <w:rFonts w:eastAsia="Aptos Display" w:cs="Arial"/>
                <w:color w:val="000000" w:themeColor="text1"/>
                <w:sz w:val="22"/>
                <w:szCs w:val="22"/>
              </w:rPr>
              <w:t>En ese orden de ideas, resulta necesario adoptar las medidas administrativas necesarias que permitan implementar mecanismos de cobertura del riesgo asociado al incumplimiento de los planes de inversión, y en consecuencia solicitar la constitución de garantías, con el fin de amparar el riesgo de incumplimiento de las obligaciones surgidas con ocasión de la aprobación de los planes de inversión de que tratan los parágrafos transitorios del artículo 36 de la Ley 1341 de 2009 y así asegurar, en los términos del artículo 365 de la Constitución Política, su prestación eficiente a todos los habitantes del territorio nacional.</w:t>
            </w:r>
          </w:p>
          <w:p w:rsidRPr="001D02B3" w:rsidR="62885058" w:rsidP="62885058" w:rsidRDefault="62885058" w14:paraId="22E865FC" w14:textId="1350D785">
            <w:pPr>
              <w:pStyle w:val="Prrafodelista"/>
              <w:ind w:left="360" w:right="142"/>
              <w:jc w:val="both"/>
              <w:rPr>
                <w:rFonts w:eastAsia="Aptos Display" w:cs="Arial"/>
                <w:color w:val="000000" w:themeColor="text1"/>
                <w:sz w:val="22"/>
                <w:szCs w:val="22"/>
              </w:rPr>
            </w:pPr>
          </w:p>
          <w:p w:rsidR="00BD239A" w:rsidP="00BD239A" w:rsidRDefault="00C10EE9" w14:paraId="4C855764" w14:textId="77777777">
            <w:pPr>
              <w:pStyle w:val="Prrafodelista"/>
              <w:autoSpaceDE w:val="0"/>
              <w:autoSpaceDN w:val="0"/>
              <w:adjustRightInd w:val="0"/>
              <w:ind w:left="360" w:right="142"/>
              <w:jc w:val="both"/>
              <w:rPr>
                <w:rFonts w:eastAsia="Aptos Display" w:cs="Arial"/>
                <w:color w:val="000000" w:themeColor="text1"/>
                <w:sz w:val="22"/>
                <w:szCs w:val="22"/>
              </w:rPr>
            </w:pPr>
            <w:r w:rsidRPr="62885058">
              <w:rPr>
                <w:rFonts w:eastAsia="Aptos Display" w:cs="Arial"/>
                <w:color w:val="000000" w:themeColor="text1"/>
                <w:sz w:val="22"/>
                <w:szCs w:val="22"/>
              </w:rPr>
              <w:t xml:space="preserve">La inclusión de este instrumento de garantía </w:t>
            </w:r>
            <w:r w:rsidRPr="62885058" w:rsidR="00696E13">
              <w:rPr>
                <w:rFonts w:eastAsia="Aptos Display" w:cs="Arial"/>
                <w:color w:val="000000" w:themeColor="text1"/>
                <w:sz w:val="22"/>
                <w:szCs w:val="22"/>
              </w:rPr>
              <w:t>permitirá</w:t>
            </w:r>
            <w:r w:rsidRPr="62885058">
              <w:rPr>
                <w:rFonts w:eastAsia="Aptos Display" w:cs="Arial"/>
                <w:color w:val="000000" w:themeColor="text1"/>
                <w:sz w:val="22"/>
                <w:szCs w:val="22"/>
              </w:rPr>
              <w:t xml:space="preserve"> mitigar riesgos asociados al incumplimiento, protege</w:t>
            </w:r>
            <w:r w:rsidRPr="62885058" w:rsidR="00696E13">
              <w:rPr>
                <w:rFonts w:eastAsia="Aptos Display" w:cs="Arial"/>
                <w:color w:val="000000" w:themeColor="text1"/>
                <w:sz w:val="22"/>
                <w:szCs w:val="22"/>
              </w:rPr>
              <w:t>r</w:t>
            </w:r>
            <w:r w:rsidRPr="62885058">
              <w:rPr>
                <w:rFonts w:eastAsia="Aptos Display" w:cs="Arial"/>
                <w:color w:val="000000" w:themeColor="text1"/>
                <w:sz w:val="22"/>
                <w:szCs w:val="22"/>
              </w:rPr>
              <w:t xml:space="preserve"> los intereses del Estado y asegura</w:t>
            </w:r>
            <w:r w:rsidRPr="62885058" w:rsidR="00696E13">
              <w:rPr>
                <w:rFonts w:eastAsia="Aptos Display" w:cs="Arial"/>
                <w:color w:val="000000" w:themeColor="text1"/>
                <w:sz w:val="22"/>
                <w:szCs w:val="22"/>
              </w:rPr>
              <w:t>rá</w:t>
            </w:r>
            <w:r w:rsidRPr="62885058">
              <w:rPr>
                <w:rFonts w:eastAsia="Aptos Display" w:cs="Arial"/>
                <w:color w:val="000000" w:themeColor="text1"/>
                <w:sz w:val="22"/>
                <w:szCs w:val="22"/>
              </w:rPr>
              <w:t xml:space="preserve"> que los beneficios otorgados se traduzcan efectivamente en mejoras sustanciales en materia de conectividad</w:t>
            </w:r>
            <w:r w:rsidRPr="62885058" w:rsidR="00971448">
              <w:rPr>
                <w:rFonts w:eastAsia="Aptos Display" w:cs="Arial"/>
                <w:color w:val="000000" w:themeColor="text1"/>
                <w:sz w:val="22"/>
                <w:szCs w:val="22"/>
              </w:rPr>
              <w:t xml:space="preserve">. </w:t>
            </w:r>
          </w:p>
          <w:p w:rsidR="00BD239A" w:rsidP="00BD239A" w:rsidRDefault="00BD239A" w14:paraId="06EB78C2" w14:textId="77777777">
            <w:pPr>
              <w:pStyle w:val="Prrafodelista"/>
              <w:autoSpaceDE w:val="0"/>
              <w:autoSpaceDN w:val="0"/>
              <w:adjustRightInd w:val="0"/>
              <w:ind w:left="360" w:right="142"/>
              <w:jc w:val="both"/>
              <w:rPr>
                <w:rFonts w:eastAsia="Aptos Display" w:cs="Arial"/>
                <w:color w:val="000000" w:themeColor="text1"/>
                <w:sz w:val="22"/>
                <w:szCs w:val="22"/>
              </w:rPr>
            </w:pPr>
          </w:p>
          <w:p w:rsidR="003C2580" w:rsidP="003C2580" w:rsidRDefault="001D02B3" w14:paraId="39311988" w14:textId="77777777">
            <w:pPr>
              <w:pStyle w:val="Prrafodelista"/>
              <w:autoSpaceDE w:val="0"/>
              <w:autoSpaceDN w:val="0"/>
              <w:adjustRightInd w:val="0"/>
              <w:ind w:left="360" w:right="142"/>
              <w:jc w:val="both"/>
              <w:rPr>
                <w:rFonts w:eastAsia="Aptos Display" w:cs="Arial"/>
                <w:color w:val="000000" w:themeColor="text1"/>
                <w:sz w:val="22"/>
                <w:szCs w:val="22"/>
              </w:rPr>
            </w:pPr>
            <w:r w:rsidRPr="00BD239A">
              <w:rPr>
                <w:rFonts w:eastAsia="Aptos Display" w:cs="Arial"/>
                <w:color w:val="000000" w:themeColor="text1"/>
                <w:sz w:val="22"/>
                <w:szCs w:val="22"/>
              </w:rPr>
              <w:t>Así mismo, el Ministerio de Tecnologías de la Información y las Comunicaciones y/o el Fondo Único de Tecnologías de la Información y las Comunicaciones, en cumplimiento de sus funciones legales debe(n) velar porque la ejecución de los planes de inversión se realice conforme a los parámetros de calidad, eficiencia, continuidad y oportunidad, garantizando una adecuada prestación del servicio público por parte de los PRST beneficiarios de las excepciones previstas en los citados parágrafos transitorios del artículo 36 de la Ley 1341 de 2009.</w:t>
            </w:r>
          </w:p>
          <w:p w:rsidR="008905C8" w:rsidP="003C2580" w:rsidRDefault="008905C8" w14:paraId="53E540CC" w14:textId="77777777">
            <w:pPr>
              <w:pStyle w:val="Prrafodelista"/>
              <w:autoSpaceDE w:val="0"/>
              <w:autoSpaceDN w:val="0"/>
              <w:adjustRightInd w:val="0"/>
              <w:ind w:left="360" w:right="142"/>
              <w:jc w:val="both"/>
              <w:rPr>
                <w:rFonts w:eastAsia="Aptos Display" w:cs="Arial"/>
                <w:color w:val="000000" w:themeColor="text1"/>
                <w:sz w:val="22"/>
                <w:szCs w:val="22"/>
              </w:rPr>
            </w:pPr>
          </w:p>
          <w:p w:rsidRPr="005C6726" w:rsidR="002E4A97" w:rsidP="005C6726" w:rsidRDefault="008905C8" w14:paraId="4CD27D53" w14:textId="5AE4B8C9">
            <w:pPr>
              <w:pStyle w:val="Prrafodelista"/>
              <w:autoSpaceDE w:val="0"/>
              <w:autoSpaceDN w:val="0"/>
              <w:adjustRightInd w:val="0"/>
              <w:ind w:left="360" w:right="142"/>
              <w:jc w:val="both"/>
              <w:rPr>
                <w:rFonts w:eastAsia="Aptos Display" w:cs="Arial"/>
                <w:color w:val="000000" w:themeColor="text1"/>
                <w:sz w:val="22"/>
                <w:szCs w:val="22"/>
              </w:rPr>
            </w:pPr>
            <w:r w:rsidRPr="008905C8">
              <w:rPr>
                <w:rFonts w:eastAsia="Aptos Display" w:cs="Arial"/>
                <w:color w:val="000000" w:themeColor="text1"/>
                <w:sz w:val="22"/>
                <w:szCs w:val="22"/>
              </w:rPr>
              <w:t>De acuerdo con lo anterior, se hace necesario implementar mecanismos técnicos y administrativos que permitan a este ministerio, en ejercicio de sus funciones de inspección, vigilancia y control, realizar un seguimiento riguroso, oportuno y eficaz a la ejecución de los planes de inversión aprobados y que llegaren a aprobarse, con el fin de garantizar el uso eficiente de los recursos públicos y el cumplimiento de los objetivos de masificación del acceso a internet en zonas con baja penetración del servicio</w:t>
            </w:r>
            <w:r w:rsidR="005C6726">
              <w:rPr>
                <w:rFonts w:eastAsia="Aptos Display" w:cs="Arial"/>
                <w:color w:val="000000" w:themeColor="text1"/>
                <w:sz w:val="22"/>
                <w:szCs w:val="22"/>
              </w:rPr>
              <w:t>.</w:t>
            </w:r>
          </w:p>
        </w:tc>
      </w:tr>
      <w:tr w:rsidRPr="00C2408F" w:rsidR="00DF60FD" w:rsidTr="5173853D" w14:paraId="2C8A0E56" w14:textId="77777777">
        <w:trPr>
          <w:trHeight w:val="300"/>
        </w:trPr>
        <w:tc>
          <w:tcPr>
            <w:tcW w:w="10440" w:type="dxa"/>
            <w:gridSpan w:val="3"/>
            <w:shd w:val="clear" w:color="auto" w:fill="FFFFFF" w:themeFill="background1"/>
            <w:tcMar/>
            <w:vAlign w:val="center"/>
          </w:tcPr>
          <w:p w:rsidRPr="00C2408F" w:rsidR="00251FCE" w:rsidP="0075705D" w:rsidRDefault="00251FCE" w14:paraId="2EF9499E" w14:textId="77777777">
            <w:pPr>
              <w:jc w:val="both"/>
              <w:rPr>
                <w:rFonts w:cs="Arial"/>
                <w:lang w:eastAsia="es-CO"/>
              </w:rPr>
            </w:pPr>
          </w:p>
        </w:tc>
      </w:tr>
      <w:tr w:rsidRPr="00C2408F" w:rsidR="00DF60FD" w:rsidTr="5173853D" w14:paraId="1D35CE88" w14:textId="77777777">
        <w:trPr>
          <w:trHeight w:val="300"/>
        </w:trPr>
        <w:tc>
          <w:tcPr>
            <w:tcW w:w="10440" w:type="dxa"/>
            <w:gridSpan w:val="3"/>
            <w:tcBorders>
              <w:top w:val="single" w:color="auto" w:sz="4" w:space="0"/>
              <w:bottom w:val="single" w:color="auto" w:sz="4" w:space="0"/>
            </w:tcBorders>
            <w:shd w:val="clear" w:color="auto" w:fill="FFFFFF" w:themeFill="background1"/>
            <w:tcMar/>
            <w:vAlign w:val="center"/>
          </w:tcPr>
          <w:p w:rsidR="00DF60FD" w:rsidP="009E24BA" w:rsidRDefault="0C271553" w14:paraId="4754CE36" w14:textId="12DD14BA">
            <w:pPr>
              <w:numPr>
                <w:ilvl w:val="0"/>
                <w:numId w:val="3"/>
              </w:numPr>
              <w:ind w:left="494"/>
              <w:rPr>
                <w:rFonts w:cs="Arial"/>
                <w:b/>
                <w:color w:val="000000"/>
                <w:sz w:val="22"/>
                <w:szCs w:val="22"/>
              </w:rPr>
            </w:pPr>
            <w:r w:rsidRPr="6DD62130">
              <w:rPr>
                <w:rFonts w:cs="Arial"/>
                <w:b/>
                <w:bCs/>
                <w:color w:val="000000" w:themeColor="text1"/>
                <w:sz w:val="22"/>
                <w:szCs w:val="22"/>
              </w:rPr>
              <w:t>Á</w:t>
            </w:r>
            <w:r w:rsidRPr="6DD62130" w:rsidR="00DF60FD">
              <w:rPr>
                <w:rFonts w:cs="Arial"/>
                <w:b/>
                <w:bCs/>
                <w:color w:val="000000" w:themeColor="text1"/>
                <w:sz w:val="22"/>
                <w:szCs w:val="22"/>
              </w:rPr>
              <w:t>MBITO</w:t>
            </w:r>
            <w:r w:rsidRPr="6DD62130" w:rsidR="00DF60FD">
              <w:rPr>
                <w:rFonts w:cs="Arial"/>
                <w:b/>
                <w:color w:val="000000" w:themeColor="text1"/>
                <w:sz w:val="22"/>
                <w:szCs w:val="22"/>
              </w:rPr>
              <w:t xml:space="preserve"> DE APLICACIÓN Y SUJETO</w:t>
            </w:r>
            <w:r w:rsidRPr="6DD62130" w:rsidR="00795C6B">
              <w:rPr>
                <w:rFonts w:cs="Arial"/>
                <w:b/>
                <w:color w:val="000000" w:themeColor="text1"/>
                <w:sz w:val="22"/>
                <w:szCs w:val="22"/>
              </w:rPr>
              <w:t>S</w:t>
            </w:r>
            <w:r w:rsidRPr="6DD62130" w:rsidR="00DF60FD">
              <w:rPr>
                <w:rFonts w:cs="Arial"/>
                <w:b/>
                <w:color w:val="000000" w:themeColor="text1"/>
                <w:sz w:val="22"/>
                <w:szCs w:val="22"/>
              </w:rPr>
              <w:t xml:space="preserve"> A QUIEN</w:t>
            </w:r>
            <w:r w:rsidRPr="6DD62130" w:rsidR="00795C6B">
              <w:rPr>
                <w:rFonts w:cs="Arial"/>
                <w:b/>
                <w:color w:val="000000" w:themeColor="text1"/>
                <w:sz w:val="22"/>
                <w:szCs w:val="22"/>
              </w:rPr>
              <w:t>ES</w:t>
            </w:r>
            <w:r w:rsidRPr="6DD62130" w:rsidR="00DF60FD">
              <w:rPr>
                <w:rFonts w:cs="Arial"/>
                <w:b/>
                <w:color w:val="000000" w:themeColor="text1"/>
                <w:sz w:val="22"/>
                <w:szCs w:val="22"/>
              </w:rPr>
              <w:t xml:space="preserve"> VA DIRIGIDO</w:t>
            </w:r>
          </w:p>
          <w:p w:rsidRPr="00795C6B" w:rsidR="00795C6B" w:rsidP="7B27D6E0" w:rsidRDefault="00795C6B" w14:paraId="1B77C6B6" w14:textId="5AD9BD9E">
            <w:pPr>
              <w:pStyle w:val="Listavistosa-nfasis11"/>
              <w:spacing w:line="240" w:lineRule="auto"/>
              <w:ind w:left="494"/>
              <w:jc w:val="both"/>
              <w:rPr>
                <w:rFonts w:ascii="Arial" w:hAnsi="Arial" w:cs="Arial"/>
                <w:i/>
                <w:iCs/>
                <w:color w:val="808080"/>
                <w:sz w:val="18"/>
                <w:szCs w:val="18"/>
              </w:rPr>
            </w:pPr>
          </w:p>
          <w:p w:rsidR="7B27D6E0" w:rsidP="00C2408F" w:rsidRDefault="61B26C59" w14:paraId="0205B344" w14:textId="5D1D5216">
            <w:pPr>
              <w:pStyle w:val="Listavistosa-nfasis11"/>
              <w:spacing w:line="240" w:lineRule="auto"/>
              <w:ind w:left="494" w:right="142"/>
              <w:jc w:val="both"/>
              <w:rPr>
                <w:rFonts w:ascii="Arial" w:hAnsi="Arial" w:eastAsia="Aptos Display" w:cs="Arial"/>
                <w:color w:val="000000" w:themeColor="text1"/>
                <w:lang w:eastAsia="es-ES"/>
              </w:rPr>
            </w:pPr>
            <w:r w:rsidRPr="7D997820">
              <w:rPr>
                <w:rFonts w:ascii="Arial" w:hAnsi="Arial" w:eastAsia="Aptos Display" w:cs="Arial"/>
                <w:color w:val="000000" w:themeColor="text1"/>
                <w:lang w:eastAsia="es-ES"/>
              </w:rPr>
              <w:t>L</w:t>
            </w:r>
            <w:r w:rsidRPr="7D997820" w:rsidR="00367A31">
              <w:rPr>
                <w:rFonts w:ascii="Arial" w:hAnsi="Arial" w:eastAsia="Aptos Display" w:cs="Arial"/>
                <w:color w:val="000000" w:themeColor="text1"/>
                <w:lang w:eastAsia="es-ES"/>
              </w:rPr>
              <w:t xml:space="preserve">as personas </w:t>
            </w:r>
            <w:r w:rsidR="005C6726">
              <w:rPr>
                <w:rFonts w:ascii="Arial" w:hAnsi="Arial" w:eastAsia="Aptos Display" w:cs="Arial"/>
                <w:color w:val="000000" w:themeColor="text1"/>
                <w:lang w:eastAsia="es-ES"/>
              </w:rPr>
              <w:t>y</w:t>
            </w:r>
            <w:r w:rsidRPr="7D997820" w:rsidR="12B8F43A">
              <w:rPr>
                <w:rFonts w:ascii="Arial" w:hAnsi="Arial" w:eastAsia="Aptos Display" w:cs="Arial"/>
                <w:color w:val="000000" w:themeColor="text1"/>
                <w:lang w:eastAsia="es-ES"/>
              </w:rPr>
              <w:t xml:space="preserve"> proveedores</w:t>
            </w:r>
            <w:r w:rsidRPr="7D997820">
              <w:rPr>
                <w:rFonts w:ascii="Arial" w:hAnsi="Arial" w:eastAsia="Aptos Display" w:cs="Arial"/>
                <w:color w:val="000000" w:themeColor="text1"/>
                <w:lang w:eastAsia="es-ES"/>
              </w:rPr>
              <w:t xml:space="preserve"> de redes y servicios de telecomunicaciones </w:t>
            </w:r>
            <w:r w:rsidRPr="7D997820" w:rsidR="003D67D3">
              <w:rPr>
                <w:rFonts w:ascii="Arial" w:hAnsi="Arial" w:eastAsia="Aptos Display" w:cs="Arial"/>
                <w:color w:val="000000" w:themeColor="text1"/>
                <w:lang w:eastAsia="es-ES"/>
              </w:rPr>
              <w:t xml:space="preserve">(PRST) </w:t>
            </w:r>
            <w:r w:rsidRPr="7D997820">
              <w:rPr>
                <w:rFonts w:ascii="Arial" w:hAnsi="Arial" w:eastAsia="Aptos Display" w:cs="Arial"/>
                <w:color w:val="000000" w:themeColor="text1"/>
                <w:lang w:eastAsia="es-ES"/>
              </w:rPr>
              <w:t>que prove</w:t>
            </w:r>
            <w:r w:rsidRPr="7D997820" w:rsidR="009110EC">
              <w:rPr>
                <w:rFonts w:ascii="Arial" w:hAnsi="Arial" w:eastAsia="Aptos Display" w:cs="Arial"/>
                <w:color w:val="000000" w:themeColor="text1"/>
                <w:lang w:eastAsia="es-ES"/>
              </w:rPr>
              <w:t>a</w:t>
            </w:r>
            <w:r w:rsidRPr="7D997820">
              <w:rPr>
                <w:rFonts w:ascii="Arial" w:hAnsi="Arial" w:eastAsia="Aptos Display" w:cs="Arial"/>
                <w:color w:val="000000" w:themeColor="text1"/>
                <w:lang w:eastAsia="es-ES"/>
              </w:rPr>
              <w:t xml:space="preserve">n el servicio de acceso a Internet fijo residencial minorista que cumplan los requisitos y exigencias de los parágrafos transitorios </w:t>
            </w:r>
            <w:r w:rsidR="005C6726">
              <w:rPr>
                <w:rFonts w:ascii="Arial" w:hAnsi="Arial" w:eastAsia="Aptos Display" w:cs="Arial"/>
                <w:color w:val="000000" w:themeColor="text1"/>
                <w:lang w:eastAsia="es-ES"/>
              </w:rPr>
              <w:t xml:space="preserve">2, 3 y 4 </w:t>
            </w:r>
            <w:r w:rsidRPr="7D997820">
              <w:rPr>
                <w:rFonts w:ascii="Arial" w:hAnsi="Arial" w:eastAsia="Aptos Display" w:cs="Arial"/>
                <w:color w:val="000000" w:themeColor="text1"/>
                <w:lang w:eastAsia="es-ES"/>
              </w:rPr>
              <w:t xml:space="preserve">del artículo 36 de </w:t>
            </w:r>
            <w:r w:rsidR="005C6726">
              <w:rPr>
                <w:rFonts w:ascii="Arial" w:hAnsi="Arial" w:eastAsia="Aptos Display" w:cs="Arial"/>
                <w:color w:val="000000" w:themeColor="text1"/>
                <w:lang w:eastAsia="es-ES"/>
              </w:rPr>
              <w:t>L</w:t>
            </w:r>
            <w:r w:rsidRPr="7D997820">
              <w:rPr>
                <w:rFonts w:ascii="Arial" w:hAnsi="Arial" w:eastAsia="Aptos Display" w:cs="Arial"/>
                <w:color w:val="000000" w:themeColor="text1"/>
                <w:lang w:eastAsia="es-ES"/>
              </w:rPr>
              <w:t>a ley 1341 de 2009.</w:t>
            </w:r>
          </w:p>
          <w:p w:rsidRPr="00C2408F" w:rsidR="005C6726" w:rsidP="00C2408F" w:rsidRDefault="005C6726" w14:paraId="6D5BFF85" w14:textId="77777777">
            <w:pPr>
              <w:pStyle w:val="Listavistosa-nfasis11"/>
              <w:spacing w:line="240" w:lineRule="auto"/>
              <w:ind w:left="494" w:right="142"/>
              <w:jc w:val="both"/>
              <w:rPr>
                <w:rFonts w:ascii="Arial" w:hAnsi="Arial" w:eastAsia="Aptos Display" w:cs="Arial"/>
                <w:color w:val="000000" w:themeColor="text1"/>
              </w:rPr>
            </w:pPr>
          </w:p>
          <w:tbl>
            <w:tblPr>
              <w:tblStyle w:val="Tablaconcuadrcula"/>
              <w:tblW w:w="10244" w:type="dxa"/>
              <w:jc w:val="center"/>
              <w:tblLayout w:type="fixed"/>
              <w:tblLook w:val="04A0" w:firstRow="1" w:lastRow="0" w:firstColumn="1" w:lastColumn="0" w:noHBand="0" w:noVBand="1"/>
            </w:tblPr>
            <w:tblGrid>
              <w:gridCol w:w="2175"/>
              <w:gridCol w:w="8069"/>
            </w:tblGrid>
            <w:tr w:rsidRPr="005A6B50" w:rsidR="00C2408F" w:rsidTr="6EEC79FD" w14:paraId="343C6F8C" w14:textId="77777777">
              <w:trPr>
                <w:trHeight w:val="300"/>
                <w:jc w:val="center"/>
              </w:trPr>
              <w:tc>
                <w:tcPr>
                  <w:tcW w:w="2175"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C2408F" w14:paraId="22421A65" w14:textId="77777777" w14:noSpellErr="1">
                  <w:pPr>
                    <w:jc w:val="both"/>
                    <w:rPr>
                      <w:rFonts w:ascii="Arial" w:hAnsi="Arial" w:eastAsia="Arial" w:cs="Arial"/>
                      <w:b w:val="1"/>
                      <w:bCs w:val="1"/>
                    </w:rPr>
                  </w:pPr>
                  <w:r w:rsidRPr="6EEC79FD" w:rsidR="00C2408F">
                    <w:rPr>
                      <w:rFonts w:ascii="Arial" w:hAnsi="Arial" w:eastAsia="Arial" w:cs="Arial"/>
                      <w:b w:val="1"/>
                      <w:bCs w:val="1"/>
                    </w:rPr>
                    <w:t>Ley 1341 de 2009</w:t>
                  </w:r>
                </w:p>
              </w:tc>
              <w:tc>
                <w:tcPr>
                  <w:tcW w:w="8069"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C2408F" w14:paraId="5CFB6AC8" w14:textId="77777777" w14:noSpellErr="1">
                  <w:pPr>
                    <w:jc w:val="both"/>
                    <w:rPr>
                      <w:rFonts w:ascii="Arial" w:hAnsi="Arial" w:eastAsia="Arial" w:cs="Arial"/>
                      <w:b w:val="1"/>
                      <w:bCs w:val="1"/>
                    </w:rPr>
                  </w:pPr>
                  <w:r w:rsidRPr="6EEC79FD" w:rsidR="00C2408F">
                    <w:rPr>
                      <w:rFonts w:ascii="Arial" w:hAnsi="Arial" w:eastAsia="Arial" w:cs="Arial"/>
                      <w:b w:val="1"/>
                      <w:bCs w:val="1"/>
                    </w:rPr>
                    <w:t xml:space="preserve">Condición </w:t>
                  </w:r>
                </w:p>
              </w:tc>
            </w:tr>
            <w:tr w:rsidRPr="005A6B50" w:rsidR="00C2408F" w:rsidTr="6EEC79FD" w14:paraId="749C7067" w14:textId="77777777">
              <w:trPr>
                <w:trHeight w:val="300"/>
                <w:jc w:val="center"/>
              </w:trPr>
              <w:tc>
                <w:tcPr>
                  <w:tcW w:w="2175"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C2408F" w14:paraId="1BC41797" w14:textId="77777777" w14:noSpellErr="1">
                  <w:pPr>
                    <w:jc w:val="both"/>
                    <w:rPr>
                      <w:rFonts w:ascii="Arial" w:hAnsi="Arial" w:eastAsia="Arial" w:cs="Arial"/>
                    </w:rPr>
                  </w:pPr>
                  <w:r w:rsidRPr="6EEC79FD" w:rsidR="00C2408F">
                    <w:rPr>
                      <w:rFonts w:ascii="Arial" w:hAnsi="Arial" w:eastAsia="Arial" w:cs="Arial"/>
                    </w:rPr>
                    <w:t>Parágrafo transitorio Segundo</w:t>
                  </w:r>
                </w:p>
              </w:tc>
              <w:tc>
                <w:tcPr>
                  <w:tcW w:w="8069"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3D67D3" w14:paraId="4CC9CBCE" w14:textId="081AA903" w14:noSpellErr="1">
                  <w:pPr>
                    <w:ind w:left="28"/>
                    <w:jc w:val="both"/>
                    <w:rPr>
                      <w:rFonts w:ascii="Arial" w:hAnsi="Arial" w:eastAsia="Arial" w:cs="Arial"/>
                    </w:rPr>
                  </w:pPr>
                  <w:r w:rsidRPr="6EEC79FD" w:rsidR="003D67D3">
                    <w:rPr>
                      <w:rFonts w:ascii="Arial" w:hAnsi="Arial" w:eastAsia="Arial" w:cs="Arial"/>
                    </w:rPr>
                    <w:t>PRST que a</w:t>
                  </w:r>
                  <w:r w:rsidRPr="6EEC79FD" w:rsidR="00C2408F">
                    <w:rPr>
                      <w:rFonts w:ascii="Arial" w:hAnsi="Arial" w:eastAsia="Arial" w:cs="Arial"/>
                    </w:rPr>
                    <w:t xml:space="preserve">l </w:t>
                  </w:r>
                  <w:r w:rsidRPr="6EEC79FD" w:rsidR="00C2408F">
                    <w:rPr>
                      <w:rFonts w:ascii="Arial" w:hAnsi="Arial" w:eastAsia="Arial" w:cs="Arial"/>
                      <w:b w:val="1"/>
                      <w:bCs w:val="1"/>
                    </w:rPr>
                    <w:t>31 de diciembre de 2020</w:t>
                  </w:r>
                  <w:r w:rsidRPr="6EEC79FD" w:rsidR="00C2408F">
                    <w:rPr>
                      <w:rFonts w:ascii="Arial" w:hAnsi="Arial" w:eastAsia="Arial" w:cs="Arial"/>
                    </w:rPr>
                    <w:t xml:space="preserve"> tengan por lo menos un (1) usuario y menos de treinta mil (30.000) usuarios reportados en el Sistema de Información Integral del Sector de TIC – Colombia TIC</w:t>
                  </w:r>
                </w:p>
              </w:tc>
            </w:tr>
            <w:tr w:rsidRPr="005A6B50" w:rsidR="00C2408F" w:rsidTr="6EEC79FD" w14:paraId="5A6A362E" w14:textId="77777777">
              <w:trPr>
                <w:trHeight w:val="840"/>
                <w:jc w:val="center"/>
              </w:trPr>
              <w:tc>
                <w:tcPr>
                  <w:tcW w:w="2175"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C2408F" w14:paraId="30912611" w14:textId="77777777" w14:noSpellErr="1">
                  <w:pPr>
                    <w:jc w:val="both"/>
                    <w:rPr>
                      <w:rFonts w:ascii="Arial" w:hAnsi="Arial" w:eastAsia="Arial" w:cs="Arial"/>
                    </w:rPr>
                  </w:pPr>
                  <w:r w:rsidRPr="6EEC79FD" w:rsidR="00C2408F">
                    <w:rPr>
                      <w:rFonts w:ascii="Arial" w:hAnsi="Arial" w:eastAsia="Arial" w:cs="Arial"/>
                    </w:rPr>
                    <w:t>Parágrafo transitorio Tercero</w:t>
                  </w:r>
                </w:p>
              </w:tc>
              <w:tc>
                <w:tcPr>
                  <w:tcW w:w="8069"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2EC627F5" w14:paraId="4B6E1D63" w14:textId="59ABAF26" w14:noSpellErr="1">
                  <w:pPr>
                    <w:ind w:left="28"/>
                    <w:jc w:val="both"/>
                    <w:rPr>
                      <w:rFonts w:ascii="Arial" w:hAnsi="Arial" w:eastAsia="Arial" w:cs="Arial"/>
                    </w:rPr>
                  </w:pPr>
                  <w:r w:rsidRPr="6EEC79FD" w:rsidR="2EC627F5">
                    <w:rPr>
                      <w:rFonts w:ascii="Arial" w:hAnsi="Arial" w:eastAsia="Arial" w:cs="Arial"/>
                    </w:rPr>
                    <w:t xml:space="preserve">Personas que </w:t>
                  </w:r>
                  <w:r w:rsidRPr="6EEC79FD" w:rsidR="47BF6491">
                    <w:rPr>
                      <w:rFonts w:ascii="Arial" w:hAnsi="Arial" w:eastAsia="Arial" w:cs="Arial"/>
                    </w:rPr>
                    <w:t>a</w:t>
                  </w:r>
                  <w:r w:rsidRPr="6EEC79FD" w:rsidR="00C2408F">
                    <w:rPr>
                      <w:rFonts w:ascii="Arial" w:hAnsi="Arial" w:eastAsia="Arial" w:cs="Arial"/>
                    </w:rPr>
                    <w:t xml:space="preserve">l </w:t>
                  </w:r>
                  <w:r w:rsidRPr="6EEC79FD" w:rsidR="00C2408F">
                    <w:rPr>
                      <w:rFonts w:ascii="Arial" w:hAnsi="Arial" w:eastAsia="Arial" w:cs="Arial"/>
                      <w:b w:val="1"/>
                      <w:bCs w:val="1"/>
                    </w:rPr>
                    <w:t>31 de diciembre de 2023</w:t>
                  </w:r>
                  <w:r w:rsidRPr="6EEC79FD" w:rsidR="00C2408F">
                    <w:rPr>
                      <w:rFonts w:ascii="Arial" w:hAnsi="Arial" w:eastAsia="Arial" w:cs="Arial"/>
                    </w:rPr>
                    <w:t xml:space="preserve"> tengan entre uno (1) y menos de treinta mil (30.000) accesos a nivel nacional y que no se hayan incorporado en el Registro Único de TIC</w:t>
                  </w:r>
                </w:p>
              </w:tc>
            </w:tr>
            <w:tr w:rsidRPr="005A6B50" w:rsidR="00C2408F" w:rsidTr="6EEC79FD" w14:paraId="1CFC5087" w14:textId="77777777">
              <w:trPr>
                <w:trHeight w:val="300"/>
                <w:jc w:val="center"/>
              </w:trPr>
              <w:tc>
                <w:tcPr>
                  <w:tcW w:w="2175"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00C2408F" w14:paraId="37AD6D09" w14:textId="77777777" w14:noSpellErr="1">
                  <w:pPr>
                    <w:jc w:val="both"/>
                    <w:rPr>
                      <w:rFonts w:ascii="Arial" w:hAnsi="Arial" w:eastAsia="Arial" w:cs="Arial"/>
                    </w:rPr>
                  </w:pPr>
                  <w:r w:rsidRPr="6EEC79FD" w:rsidR="00C2408F">
                    <w:rPr>
                      <w:rFonts w:ascii="Arial" w:hAnsi="Arial" w:eastAsia="Arial" w:cs="Arial"/>
                    </w:rPr>
                    <w:t>Parágrafo transitorio Cuarto</w:t>
                  </w:r>
                </w:p>
              </w:tc>
              <w:tc>
                <w:tcPr>
                  <w:tcW w:w="8069" w:type="dxa"/>
                  <w:tcBorders>
                    <w:top w:val="single" w:color="auto" w:sz="8" w:space="0"/>
                    <w:left w:val="single" w:color="auto" w:sz="8" w:space="0"/>
                    <w:bottom w:val="single" w:color="auto" w:sz="8" w:space="0"/>
                    <w:right w:val="single" w:color="auto" w:sz="8" w:space="0"/>
                  </w:tcBorders>
                  <w:tcMar>
                    <w:left w:w="108" w:type="dxa"/>
                    <w:right w:w="108" w:type="dxa"/>
                  </w:tcMar>
                </w:tcPr>
                <w:p w:rsidRPr="005A6B50" w:rsidR="00C2408F" w:rsidP="6EEC79FD" w:rsidRDefault="1B0AF8DB" w14:paraId="133CC272" w14:textId="3B7A3495" w14:noSpellErr="1">
                  <w:pPr>
                    <w:ind w:left="28"/>
                    <w:jc w:val="both"/>
                    <w:rPr>
                      <w:rFonts w:ascii="Arial" w:hAnsi="Arial" w:eastAsia="Arial" w:cs="Arial"/>
                    </w:rPr>
                  </w:pPr>
                  <w:r w:rsidRPr="6EEC79FD" w:rsidR="1B0AF8DB">
                    <w:rPr>
                      <w:rFonts w:ascii="Arial" w:hAnsi="Arial" w:eastAsia="Arial" w:cs="Arial"/>
                    </w:rPr>
                    <w:t>PRST que a</w:t>
                  </w:r>
                  <w:r w:rsidRPr="6EEC79FD" w:rsidR="00C2408F">
                    <w:rPr>
                      <w:rFonts w:ascii="Arial" w:hAnsi="Arial" w:eastAsia="Arial" w:cs="Arial"/>
                    </w:rPr>
                    <w:t xml:space="preserve">l </w:t>
                  </w:r>
                  <w:r w:rsidRPr="6EEC79FD" w:rsidR="00C2408F">
                    <w:rPr>
                      <w:rFonts w:ascii="Arial" w:hAnsi="Arial" w:eastAsia="Arial" w:cs="Arial"/>
                      <w:b w:val="1"/>
                      <w:bCs w:val="1"/>
                    </w:rPr>
                    <w:t>31 de diciembre de 2023</w:t>
                  </w:r>
                  <w:r w:rsidRPr="6EEC79FD" w:rsidR="00C2408F">
                    <w:rPr>
                      <w:rFonts w:ascii="Arial" w:hAnsi="Arial" w:eastAsia="Arial" w:cs="Arial"/>
                    </w:rPr>
                    <w:t xml:space="preserve"> tengan por lo menos un (1) acceso y menos de treinta mil (30.000) accesos a nivel nacional. </w:t>
                  </w:r>
                </w:p>
              </w:tc>
            </w:tr>
          </w:tbl>
          <w:p w:rsidRPr="009F7CED" w:rsidR="00795C6B" w:rsidP="0075705D" w:rsidRDefault="00795C6B" w14:paraId="33CB66DC" w14:textId="77777777">
            <w:pPr>
              <w:rPr>
                <w:rFonts w:cs="Arial"/>
                <w:iCs/>
                <w:color w:val="000000"/>
                <w:sz w:val="22"/>
                <w:szCs w:val="22"/>
              </w:rPr>
            </w:pPr>
          </w:p>
        </w:tc>
      </w:tr>
      <w:tr w:rsidRPr="00C2408F" w:rsidR="00DF60FD" w:rsidTr="5173853D" w14:paraId="568C284A" w14:textId="77777777">
        <w:trPr>
          <w:trHeight w:val="300"/>
        </w:trPr>
        <w:tc>
          <w:tcPr>
            <w:tcW w:w="10440" w:type="dxa"/>
            <w:gridSpan w:val="3"/>
            <w:tcBorders>
              <w:bottom w:val="single" w:color="auto" w:sz="4" w:space="0"/>
            </w:tcBorders>
            <w:shd w:val="clear" w:color="auto" w:fill="FFFFFF" w:themeFill="background1"/>
            <w:tcMar/>
            <w:vAlign w:val="center"/>
          </w:tcPr>
          <w:p w:rsidR="00C2408F" w:rsidP="00C2408F" w:rsidRDefault="00C2408F" w14:paraId="11E67DE8" w14:textId="2B01BA26">
            <w:pPr>
              <w:rPr>
                <w:rFonts w:cs="Arial"/>
                <w:b/>
                <w:color w:val="000000"/>
                <w:sz w:val="22"/>
                <w:szCs w:val="22"/>
              </w:rPr>
            </w:pPr>
          </w:p>
          <w:p w:rsidR="00DF60FD" w:rsidP="00C2408F" w:rsidRDefault="00DF60FD" w14:paraId="3440EB42" w14:textId="2939A391">
            <w:pPr>
              <w:pStyle w:val="Prrafodelista"/>
              <w:numPr>
                <w:ilvl w:val="0"/>
                <w:numId w:val="3"/>
              </w:numPr>
              <w:rPr>
                <w:rFonts w:cs="Arial"/>
                <w:b/>
                <w:color w:val="000000"/>
                <w:sz w:val="22"/>
                <w:szCs w:val="22"/>
              </w:rPr>
            </w:pPr>
            <w:r w:rsidRPr="009F7CED">
              <w:rPr>
                <w:rFonts w:cs="Arial"/>
                <w:b/>
                <w:color w:val="000000"/>
                <w:sz w:val="22"/>
                <w:szCs w:val="22"/>
              </w:rPr>
              <w:t>VIABILIDAD JURÍDICA</w:t>
            </w:r>
          </w:p>
          <w:p w:rsidR="7B27D6E0" w:rsidP="7B27D6E0" w:rsidRDefault="7B27D6E0" w14:paraId="195158DD" w14:textId="44996879">
            <w:pPr>
              <w:ind w:left="494" w:hanging="283"/>
              <w:rPr>
                <w:rFonts w:cs="Arial"/>
                <w:i/>
                <w:iCs/>
                <w:color w:val="808080" w:themeColor="background1" w:themeShade="80"/>
                <w:sz w:val="18"/>
                <w:szCs w:val="18"/>
              </w:rPr>
            </w:pPr>
          </w:p>
          <w:p w:rsidRPr="00C2408F" w:rsidR="00795C6B" w:rsidP="0075705D" w:rsidRDefault="00795C6B" w14:paraId="53B5F307" w14:textId="77777777">
            <w:pPr>
              <w:ind w:left="494" w:hanging="283"/>
              <w:jc w:val="both"/>
              <w:rPr>
                <w:rFonts w:cs="Arial"/>
                <w:b/>
                <w:sz w:val="22"/>
                <w:szCs w:val="22"/>
                <w:lang w:val="es-CO" w:eastAsia="es-CO"/>
              </w:rPr>
            </w:pPr>
            <w:r w:rsidRPr="00C2408F">
              <w:rPr>
                <w:rFonts w:cs="Arial"/>
                <w:b/>
                <w:sz w:val="22"/>
                <w:szCs w:val="22"/>
                <w:lang w:val="es-CO" w:eastAsia="es-CO"/>
              </w:rPr>
              <w:t>3.1 Análisis de las normas que otorgan la competencia para la expedición del proyecto normativo</w:t>
            </w:r>
          </w:p>
          <w:p w:rsidR="63CC942D" w:rsidP="63CC942D" w:rsidRDefault="63CC942D" w14:paraId="0390F7A5" w14:textId="02B75E2C">
            <w:pPr>
              <w:ind w:left="494" w:hanging="283"/>
              <w:jc w:val="both"/>
              <w:rPr>
                <w:rFonts w:cs="Arial"/>
                <w:sz w:val="22"/>
                <w:szCs w:val="22"/>
                <w:lang w:val="es-CO" w:eastAsia="es-CO"/>
              </w:rPr>
            </w:pPr>
          </w:p>
          <w:p w:rsidRPr="00C2408F" w:rsidR="6EB2884D" w:rsidP="63CC942D" w:rsidRDefault="6EB2884D" w14:paraId="14859846" w14:textId="346FCD45">
            <w:pPr>
              <w:tabs>
                <w:tab w:val="left" w:pos="284"/>
              </w:tabs>
              <w:spacing w:before="75"/>
              <w:ind w:right="54"/>
              <w:jc w:val="both"/>
              <w:rPr>
                <w:rFonts w:eastAsia="Aptos Display" w:cs="Arial"/>
                <w:color w:val="000000" w:themeColor="text1"/>
                <w:sz w:val="22"/>
                <w:szCs w:val="22"/>
              </w:rPr>
            </w:pPr>
            <w:r w:rsidRPr="00C2408F">
              <w:rPr>
                <w:rFonts w:eastAsia="Aptos Display" w:cs="Arial"/>
                <w:color w:val="000000" w:themeColor="text1"/>
                <w:sz w:val="22"/>
                <w:szCs w:val="22"/>
                <w:lang w:val="es-CO"/>
              </w:rPr>
              <w:t xml:space="preserve">Es importante destacar que la potestad reglamentaria de las entidades públicas implica el ejercicio de una función administrativa, cuyo propósito es desarrollar, precisar y detallar las disposiciones legales para garantizar su adecuada ejecución en armonía con el ordenamiento jurídico. Esta facultad se encuentra consagrada en el artículo </w:t>
            </w:r>
            <w:r w:rsidRPr="00C2408F" w:rsidR="00B01FCA">
              <w:rPr>
                <w:rFonts w:eastAsia="Aptos Display" w:cs="Arial"/>
                <w:color w:val="000000" w:themeColor="text1"/>
                <w:sz w:val="22"/>
                <w:szCs w:val="22"/>
                <w:lang w:val="es-CO"/>
              </w:rPr>
              <w:t>11 de la Ley 2108 de 2021</w:t>
            </w:r>
            <w:r w:rsidRPr="00C2408F">
              <w:rPr>
                <w:rFonts w:eastAsia="Aptos Display" w:cs="Arial"/>
                <w:color w:val="000000" w:themeColor="text1"/>
                <w:sz w:val="22"/>
                <w:szCs w:val="22"/>
                <w:lang w:val="es-CO"/>
              </w:rPr>
              <w:t xml:space="preserve">, la cual adicionó el parágrafo transitorio </w:t>
            </w:r>
            <w:r w:rsidR="00B01FCA">
              <w:rPr>
                <w:rFonts w:eastAsia="Aptos Display" w:cs="Arial"/>
                <w:color w:val="000000" w:themeColor="text1"/>
                <w:sz w:val="22"/>
                <w:szCs w:val="22"/>
                <w:lang w:val="es-CO"/>
              </w:rPr>
              <w:t xml:space="preserve">segundo </w:t>
            </w:r>
            <w:r w:rsidRPr="00C2408F">
              <w:rPr>
                <w:rFonts w:eastAsia="Aptos Display" w:cs="Arial"/>
                <w:color w:val="000000" w:themeColor="text1"/>
                <w:sz w:val="22"/>
                <w:szCs w:val="22"/>
                <w:lang w:val="es-CO"/>
              </w:rPr>
              <w:t>al artículo 36 de la Ley 1341 de 2009, en los siguientes términos:</w:t>
            </w:r>
          </w:p>
          <w:p w:rsidRPr="00C2408F" w:rsidR="63CC942D" w:rsidP="63CC942D" w:rsidRDefault="63CC942D" w14:paraId="08A8577A" w14:textId="69D5433B">
            <w:pPr>
              <w:tabs>
                <w:tab w:val="left" w:pos="284"/>
              </w:tabs>
              <w:spacing w:before="75"/>
              <w:ind w:left="708" w:right="54"/>
              <w:jc w:val="both"/>
              <w:rPr>
                <w:rFonts w:eastAsia="Aptos Display" w:cs="Arial"/>
                <w:color w:val="000000" w:themeColor="text1"/>
              </w:rPr>
            </w:pPr>
          </w:p>
          <w:p w:rsidRPr="00C2408F" w:rsidR="00B01FCA" w:rsidP="00B01FCA" w:rsidRDefault="00B01FCA" w14:paraId="1739191C" w14:textId="77777777">
            <w:pPr>
              <w:tabs>
                <w:tab w:val="left" w:pos="284"/>
              </w:tabs>
              <w:spacing w:before="75"/>
              <w:ind w:left="708" w:right="616"/>
              <w:jc w:val="both"/>
              <w:rPr>
                <w:rFonts w:eastAsia="Aptos Display" w:cs="Arial"/>
                <w:color w:val="000000" w:themeColor="text1"/>
                <w:sz w:val="22"/>
                <w:szCs w:val="22"/>
              </w:rPr>
            </w:pPr>
            <w:r w:rsidRPr="00C2408F">
              <w:rPr>
                <w:rFonts w:eastAsia="Aptos Display" w:cs="Arial"/>
                <w:i/>
                <w:color w:val="000000" w:themeColor="text1"/>
                <w:lang w:val="es-CO"/>
              </w:rPr>
              <w:t>(…) “Para ello, el Ministerio de Tecnologías de la Información y las Comunicaciones expedirá, durante los cuatro (4) meses siguientes a la promulgación de la presente ley, la reglamentación que definirá, entre otras condiciones, las inversiones que deberán realizar estos proveedores durante el tiempo de la exención, las condiciones para mantener el beneficio, así como los mecanismos de verificación de su cumplimiento”</w:t>
            </w:r>
            <w:r w:rsidRPr="00C2408F">
              <w:rPr>
                <w:rFonts w:eastAsia="Aptos Display" w:cs="Arial"/>
                <w:color w:val="000000" w:themeColor="text1"/>
                <w:sz w:val="22"/>
                <w:szCs w:val="22"/>
                <w:lang w:val="es-CO"/>
              </w:rPr>
              <w:t>. </w:t>
            </w:r>
          </w:p>
          <w:p w:rsidRPr="00C2408F" w:rsidR="63CC942D" w:rsidP="63CC942D" w:rsidRDefault="63CC942D" w14:paraId="60A160FF" w14:textId="24237C15">
            <w:pPr>
              <w:tabs>
                <w:tab w:val="left" w:pos="284"/>
              </w:tabs>
              <w:spacing w:before="75"/>
              <w:ind w:right="54"/>
              <w:jc w:val="both"/>
              <w:rPr>
                <w:rFonts w:eastAsia="Aptos Display" w:cs="Arial"/>
                <w:color w:val="000000" w:themeColor="text1"/>
                <w:sz w:val="22"/>
                <w:szCs w:val="22"/>
              </w:rPr>
            </w:pPr>
          </w:p>
          <w:p w:rsidRPr="00C2408F" w:rsidR="6EB2884D" w:rsidP="63CC942D" w:rsidRDefault="6EB2884D" w14:paraId="33A3EAF7" w14:textId="62534496">
            <w:pPr>
              <w:tabs>
                <w:tab w:val="left" w:pos="284"/>
              </w:tabs>
              <w:spacing w:before="75"/>
              <w:ind w:right="54"/>
              <w:jc w:val="both"/>
              <w:rPr>
                <w:rFonts w:eastAsia="Aptos Display" w:cs="Arial"/>
                <w:color w:val="000000" w:themeColor="text1"/>
                <w:sz w:val="22"/>
                <w:szCs w:val="22"/>
              </w:rPr>
            </w:pPr>
            <w:r w:rsidRPr="7D997820">
              <w:rPr>
                <w:rFonts w:eastAsia="Aptos Display" w:cs="Arial"/>
                <w:color w:val="000000" w:themeColor="text1"/>
                <w:sz w:val="22"/>
                <w:szCs w:val="22"/>
                <w:lang w:val="es-CO"/>
              </w:rPr>
              <w:t xml:space="preserve">Por otro lado, el </w:t>
            </w:r>
            <w:r w:rsidRPr="7D997820" w:rsidR="00AD7EAC">
              <w:rPr>
                <w:rFonts w:eastAsia="Aptos Display" w:cs="Arial"/>
                <w:color w:val="000000" w:themeColor="text1"/>
                <w:sz w:val="22"/>
                <w:szCs w:val="22"/>
                <w:lang w:val="es-CO"/>
              </w:rPr>
              <w:t>artículo</w:t>
            </w:r>
            <w:r w:rsidRPr="7D997820" w:rsidR="002B0B67">
              <w:rPr>
                <w:rFonts w:eastAsia="Aptos Display" w:cs="Arial"/>
                <w:color w:val="000000" w:themeColor="text1"/>
                <w:sz w:val="22"/>
                <w:szCs w:val="22"/>
                <w:lang w:val="es-CO"/>
              </w:rPr>
              <w:t xml:space="preserve"> </w:t>
            </w:r>
            <w:r w:rsidRPr="7D997820">
              <w:rPr>
                <w:rFonts w:eastAsia="Aptos Display" w:cs="Arial"/>
                <w:color w:val="000000" w:themeColor="text1"/>
                <w:sz w:val="22"/>
                <w:szCs w:val="22"/>
                <w:lang w:val="es-CO"/>
              </w:rPr>
              <w:t>149 de la Ley 2294 de 2023</w:t>
            </w:r>
            <w:r w:rsidRPr="7D997820" w:rsidR="009E6CBE">
              <w:rPr>
                <w:rFonts w:eastAsia="Aptos Display" w:cs="Arial"/>
                <w:color w:val="000000" w:themeColor="text1"/>
                <w:sz w:val="22"/>
                <w:szCs w:val="22"/>
                <w:lang w:val="es-CO"/>
              </w:rPr>
              <w:t>,</w:t>
            </w:r>
            <w:r w:rsidRPr="7D997820">
              <w:rPr>
                <w:rFonts w:eastAsia="Aptos Display" w:cs="Arial"/>
                <w:color w:val="000000" w:themeColor="text1"/>
                <w:sz w:val="22"/>
                <w:szCs w:val="22"/>
                <w:lang w:val="es-CO"/>
              </w:rPr>
              <w:t xml:space="preserve"> adicionó los parágrafos transitorios tercero y cuarto al </w:t>
            </w:r>
            <w:r w:rsidRPr="7D997820">
              <w:rPr>
                <w:rFonts w:eastAsia="Aptos Display" w:cs="Arial"/>
                <w:color w:val="000000" w:themeColor="text1"/>
                <w:sz w:val="22"/>
                <w:szCs w:val="22"/>
                <w:lang w:val="es"/>
              </w:rPr>
              <w:t xml:space="preserve">artículo 36 de la ley 1341 de 2009 </w:t>
            </w:r>
            <w:r w:rsidRPr="7D997820" w:rsidR="009E6CBE">
              <w:rPr>
                <w:rFonts w:eastAsia="Aptos Display" w:cs="Arial"/>
                <w:color w:val="000000" w:themeColor="text1"/>
                <w:sz w:val="22"/>
                <w:szCs w:val="22"/>
                <w:lang w:val="es"/>
              </w:rPr>
              <w:t xml:space="preserve">y </w:t>
            </w:r>
            <w:r w:rsidRPr="7D997820">
              <w:rPr>
                <w:rFonts w:eastAsia="Aptos Display" w:cs="Arial"/>
                <w:color w:val="000000" w:themeColor="text1"/>
                <w:sz w:val="22"/>
                <w:szCs w:val="22"/>
                <w:lang w:val="es"/>
              </w:rPr>
              <w:t xml:space="preserve">estableció: </w:t>
            </w:r>
          </w:p>
          <w:p w:rsidRPr="00C2408F" w:rsidR="63CC942D" w:rsidP="63CC942D" w:rsidRDefault="63CC942D" w14:paraId="46E9A0E4" w14:textId="43A6D8CB">
            <w:pPr>
              <w:tabs>
                <w:tab w:val="left" w:pos="284"/>
              </w:tabs>
              <w:spacing w:before="75"/>
              <w:ind w:right="54"/>
              <w:jc w:val="both"/>
              <w:rPr>
                <w:rFonts w:eastAsia="Aptos Display" w:cs="Arial"/>
                <w:color w:val="000000" w:themeColor="text1"/>
                <w:sz w:val="22"/>
                <w:szCs w:val="22"/>
              </w:rPr>
            </w:pPr>
          </w:p>
          <w:p w:rsidRPr="00C2408F" w:rsidR="6EB2884D" w:rsidP="63CC942D" w:rsidRDefault="6EB2884D" w14:paraId="564E106E" w14:textId="1FFF8104">
            <w:pPr>
              <w:tabs>
                <w:tab w:val="left" w:pos="284"/>
              </w:tabs>
              <w:spacing w:before="75"/>
              <w:ind w:left="708" w:right="616"/>
              <w:jc w:val="both"/>
              <w:rPr>
                <w:rFonts w:eastAsia="Aptos Display" w:cs="Arial"/>
                <w:color w:val="000000" w:themeColor="text1"/>
              </w:rPr>
            </w:pPr>
            <w:r w:rsidRPr="00C2408F">
              <w:rPr>
                <w:rFonts w:eastAsia="Aptos Display" w:cs="Arial"/>
                <w:color w:val="000000" w:themeColor="text1"/>
                <w:lang w:val="es"/>
              </w:rPr>
              <w:t>(…) “</w:t>
            </w:r>
            <w:r w:rsidRPr="00C2408F">
              <w:rPr>
                <w:rFonts w:eastAsia="Aptos Display" w:cs="Arial"/>
                <w:i/>
                <w:color w:val="000000" w:themeColor="text1"/>
                <w:lang w:val="es-CO"/>
              </w:rPr>
              <w:t>El Ministerio de Tecnologías de la Información y las Comunicaciones reglamentará entre otras condiciones, las de acceso al beneficio del presente artículo, las inversiones y actualizaciones tecnológicas para proveer Internet por parte de estos operadores, así como los mecanismos de verificación de su cumplimiento”.</w:t>
            </w:r>
          </w:p>
          <w:p w:rsidR="63CC942D" w:rsidP="63CC942D" w:rsidRDefault="63CC942D" w14:paraId="2C134751" w14:textId="11B00E07">
            <w:pPr>
              <w:tabs>
                <w:tab w:val="left" w:pos="284"/>
              </w:tabs>
              <w:spacing w:before="75"/>
              <w:ind w:right="54"/>
              <w:jc w:val="both"/>
              <w:rPr>
                <w:rFonts w:eastAsia="Aptos Display" w:cs="Arial"/>
                <w:color w:val="000000" w:themeColor="text1"/>
                <w:sz w:val="22"/>
                <w:szCs w:val="22"/>
              </w:rPr>
            </w:pPr>
          </w:p>
          <w:p w:rsidR="00D45D54" w:rsidP="63CC942D" w:rsidRDefault="00D45D54" w14:paraId="4CB22F4D" w14:textId="4DB1D88F">
            <w:pPr>
              <w:tabs>
                <w:tab w:val="left" w:pos="284"/>
              </w:tabs>
              <w:spacing w:before="75"/>
              <w:ind w:right="54"/>
              <w:jc w:val="both"/>
              <w:rPr>
                <w:rFonts w:eastAsia="Aptos Display" w:cs="Arial"/>
                <w:color w:val="000000" w:themeColor="text1"/>
                <w:sz w:val="22"/>
                <w:szCs w:val="22"/>
              </w:rPr>
            </w:pPr>
            <w:r w:rsidRPr="7D997820">
              <w:rPr>
                <w:rFonts w:eastAsia="Aptos Display" w:cs="Arial"/>
                <w:color w:val="000000" w:themeColor="text1"/>
                <w:sz w:val="22"/>
                <w:szCs w:val="22"/>
              </w:rPr>
              <w:t>En ese sentido, y en virtud de las normas previamente descritas, se evidencia que el Ministerio de Tecnologías de la Información y las Comunicaciones ejerce la potestad reglamentaria para establecer disposiciones aplicables al trámite de excepción en el pago de la contraprestación periódica única. En atención a la necesidad identificada, se considera procedente exigir la constitución de una garantía, cuyo propósito fundamental es respaldar, junto con los demás mecanismos de seguimiento y control, el cumplimiento efectivo de los planes de inversión aprobados. Esta medida busca asegurar que los compromisos adquiridos por los Proveedores de Redes y Servicios de Telecomunicaciones se materialicen en resultados concretos, con el objetivo último de avanzar en la masificación del acceso a Internet en todo el territorio nacional.</w:t>
            </w:r>
          </w:p>
          <w:p w:rsidRPr="00C2408F" w:rsidR="00D45D54" w:rsidP="63CC942D" w:rsidRDefault="00D45D54" w14:paraId="1B0CC24F" w14:textId="77777777">
            <w:pPr>
              <w:tabs>
                <w:tab w:val="left" w:pos="284"/>
              </w:tabs>
              <w:spacing w:before="75"/>
              <w:ind w:right="54"/>
              <w:jc w:val="both"/>
              <w:rPr>
                <w:rFonts w:eastAsia="Aptos Display" w:cs="Arial"/>
                <w:color w:val="000000" w:themeColor="text1"/>
                <w:sz w:val="22"/>
                <w:szCs w:val="22"/>
              </w:rPr>
            </w:pPr>
          </w:p>
          <w:p w:rsidRPr="00C2408F" w:rsidR="00795C6B" w:rsidP="0075705D" w:rsidRDefault="00795C6B" w14:paraId="5B8EAEC3" w14:textId="77777777">
            <w:pPr>
              <w:ind w:left="494" w:hanging="283"/>
              <w:jc w:val="both"/>
              <w:rPr>
                <w:rFonts w:cs="Arial"/>
                <w:b/>
                <w:sz w:val="22"/>
                <w:szCs w:val="22"/>
                <w:lang w:val="es-CO" w:eastAsia="es-CO"/>
              </w:rPr>
            </w:pPr>
            <w:r w:rsidRPr="00C2408F">
              <w:rPr>
                <w:rFonts w:cs="Arial"/>
                <w:b/>
                <w:sz w:val="22"/>
                <w:szCs w:val="22"/>
                <w:lang w:val="es-CO" w:eastAsia="es-CO"/>
              </w:rPr>
              <w:t>3.2 Vigencia de la ley o norma reglamentada o desarrollada</w:t>
            </w:r>
          </w:p>
          <w:p w:rsidR="63CC942D" w:rsidP="63CC942D" w:rsidRDefault="63CC942D" w14:paraId="3579529F" w14:textId="29EBD4B5">
            <w:pPr>
              <w:ind w:left="494" w:hanging="283"/>
              <w:jc w:val="both"/>
              <w:rPr>
                <w:rFonts w:cs="Arial"/>
                <w:sz w:val="22"/>
                <w:szCs w:val="22"/>
                <w:lang w:val="es-CO" w:eastAsia="es-CO"/>
              </w:rPr>
            </w:pPr>
          </w:p>
          <w:p w:rsidR="4A64DD16" w:rsidP="00673105" w:rsidRDefault="4A64DD16" w14:paraId="51F39144" w14:textId="2AA7E7AD">
            <w:pPr>
              <w:jc w:val="both"/>
              <w:rPr>
                <w:rFonts w:cs="Arial"/>
                <w:sz w:val="22"/>
                <w:szCs w:val="22"/>
                <w:lang w:val="es-CO" w:eastAsia="es-CO"/>
              </w:rPr>
            </w:pPr>
            <w:r w:rsidRPr="63CC942D">
              <w:rPr>
                <w:rFonts w:cs="Arial"/>
                <w:sz w:val="22"/>
                <w:szCs w:val="22"/>
                <w:lang w:val="es-CO" w:eastAsia="es-CO"/>
              </w:rPr>
              <w:t>La norma no establece un período determinado, simplemente establece el cumplimiento de ciertas condiciones para el cumplimiento de los requisitos de la excep</w:t>
            </w:r>
            <w:r w:rsidRPr="63CC942D" w:rsidR="0D15B8EE">
              <w:rPr>
                <w:rFonts w:cs="Arial"/>
                <w:sz w:val="22"/>
                <w:szCs w:val="22"/>
                <w:lang w:val="es-CO" w:eastAsia="es-CO"/>
              </w:rPr>
              <w:t xml:space="preserve">ción de la contraprestación. </w:t>
            </w:r>
          </w:p>
          <w:p w:rsidR="00795C6B" w:rsidP="0075705D" w:rsidRDefault="00795C6B" w14:paraId="0BD35917" w14:textId="77777777">
            <w:pPr>
              <w:ind w:left="494" w:hanging="283"/>
              <w:jc w:val="both"/>
              <w:rPr>
                <w:rFonts w:cs="Arial"/>
                <w:sz w:val="22"/>
                <w:szCs w:val="22"/>
                <w:lang w:val="es-CO" w:eastAsia="es-CO"/>
              </w:rPr>
            </w:pPr>
          </w:p>
          <w:p w:rsidRPr="00C2408F" w:rsidR="00795C6B" w:rsidP="62885058" w:rsidRDefault="00795C6B" w14:paraId="460D908F" w14:textId="735D681D">
            <w:pPr>
              <w:ind w:left="494" w:hanging="283"/>
              <w:jc w:val="both"/>
              <w:rPr>
                <w:rFonts w:cs="Arial"/>
                <w:b/>
                <w:bCs/>
                <w:sz w:val="22"/>
                <w:szCs w:val="22"/>
                <w:lang w:val="pt-PT" w:eastAsia="es-CO"/>
              </w:rPr>
            </w:pPr>
            <w:r w:rsidRPr="6C5E3551">
              <w:rPr>
                <w:rFonts w:cs="Arial"/>
                <w:b/>
                <w:bCs/>
                <w:sz w:val="22"/>
                <w:szCs w:val="22"/>
                <w:lang w:val="pt-PT" w:eastAsia="es-CO"/>
              </w:rPr>
              <w:t xml:space="preserve">3.3. </w:t>
            </w:r>
            <w:bookmarkStart w:name="_Int_Fby7TYL0" w:id="0"/>
            <w:r w:rsidRPr="6C5E3551">
              <w:rPr>
                <w:rFonts w:cs="Arial"/>
                <w:b/>
                <w:bCs/>
                <w:sz w:val="22"/>
                <w:szCs w:val="22"/>
                <w:lang w:val="pt-PT" w:eastAsia="es-CO"/>
              </w:rPr>
              <w:t>Disposiciones</w:t>
            </w:r>
            <w:bookmarkEnd w:id="0"/>
            <w:r w:rsidRPr="6C5E3551">
              <w:rPr>
                <w:rFonts w:cs="Arial"/>
                <w:b/>
                <w:bCs/>
                <w:sz w:val="22"/>
                <w:szCs w:val="22"/>
                <w:lang w:val="pt-PT" w:eastAsia="es-CO"/>
              </w:rPr>
              <w:t xml:space="preserve"> deroga</w:t>
            </w:r>
            <w:r w:rsidRPr="6C5E3551" w:rsidR="0690A48C">
              <w:rPr>
                <w:rFonts w:cs="Arial"/>
                <w:b/>
                <w:bCs/>
                <w:sz w:val="22"/>
                <w:szCs w:val="22"/>
                <w:lang w:val="pt-PT" w:eastAsia="es-CO"/>
              </w:rPr>
              <w:t>da</w:t>
            </w:r>
            <w:r w:rsidRPr="6C5E3551">
              <w:rPr>
                <w:rFonts w:cs="Arial"/>
                <w:b/>
                <w:bCs/>
                <w:sz w:val="22"/>
                <w:szCs w:val="22"/>
                <w:lang w:val="pt-PT" w:eastAsia="es-CO"/>
              </w:rPr>
              <w:t>s, subrogadas, modificadas, adicionadas</w:t>
            </w:r>
            <w:r w:rsidRPr="6C5E3551" w:rsidR="00D05B67">
              <w:rPr>
                <w:rFonts w:cs="Arial"/>
                <w:b/>
                <w:bCs/>
                <w:sz w:val="22"/>
                <w:szCs w:val="22"/>
                <w:lang w:val="pt-PT" w:eastAsia="es-CO"/>
              </w:rPr>
              <w:t xml:space="preserve"> o sustituidas </w:t>
            </w:r>
          </w:p>
          <w:p w:rsidRPr="009E24BA" w:rsidR="63CC942D" w:rsidP="63CC942D" w:rsidRDefault="63CC942D" w14:paraId="1874FA91" w14:textId="03FD2141">
            <w:pPr>
              <w:ind w:left="494" w:hanging="283"/>
              <w:jc w:val="both"/>
              <w:rPr>
                <w:rFonts w:cs="Arial"/>
                <w:sz w:val="22"/>
                <w:szCs w:val="22"/>
                <w:lang w:val="pt-PT" w:eastAsia="es-CO"/>
              </w:rPr>
            </w:pPr>
          </w:p>
          <w:p w:rsidRPr="00C2408F" w:rsidR="75028E91" w:rsidP="00673105" w:rsidRDefault="75028E91" w14:paraId="315C4467" w14:textId="470F6E7D">
            <w:pPr>
              <w:ind w:left="494" w:hanging="494"/>
              <w:jc w:val="both"/>
              <w:rPr>
                <w:rFonts w:cs="Arial"/>
                <w:sz w:val="22"/>
                <w:szCs w:val="22"/>
                <w:lang w:val="pt-PT" w:eastAsia="es-CO"/>
              </w:rPr>
            </w:pPr>
            <w:r w:rsidRPr="00C2408F">
              <w:rPr>
                <w:rFonts w:cs="Arial"/>
                <w:sz w:val="22"/>
                <w:szCs w:val="22"/>
                <w:lang w:val="pt-PT" w:eastAsia="es-CO"/>
              </w:rPr>
              <w:t>N</w:t>
            </w:r>
            <w:r w:rsidR="00C2408F">
              <w:rPr>
                <w:rFonts w:cs="Arial"/>
                <w:sz w:val="22"/>
                <w:szCs w:val="22"/>
                <w:lang w:val="pt-PT" w:eastAsia="es-CO"/>
              </w:rPr>
              <w:t>o aplica</w:t>
            </w:r>
          </w:p>
          <w:p w:rsidRPr="00C2408F" w:rsidR="00D05B67" w:rsidP="0075705D" w:rsidRDefault="00D05B67" w14:paraId="116FA98D" w14:textId="77777777">
            <w:pPr>
              <w:ind w:left="494" w:hanging="283"/>
              <w:jc w:val="both"/>
              <w:rPr>
                <w:rFonts w:cs="Arial"/>
                <w:sz w:val="22"/>
                <w:szCs w:val="22"/>
                <w:lang w:val="pt-PT" w:eastAsia="es-CO"/>
              </w:rPr>
            </w:pPr>
          </w:p>
          <w:p w:rsidRPr="00C2408F" w:rsidR="00D05B67" w:rsidP="0075705D" w:rsidRDefault="00D05B67" w14:paraId="03C83369" w14:textId="0642E7EB">
            <w:pPr>
              <w:ind w:left="494" w:hanging="283"/>
              <w:jc w:val="both"/>
              <w:rPr>
                <w:rFonts w:cs="Arial"/>
                <w:b/>
                <w:sz w:val="22"/>
                <w:szCs w:val="22"/>
                <w:lang w:val="es-CO" w:eastAsia="es-CO"/>
              </w:rPr>
            </w:pPr>
            <w:r w:rsidRPr="00C2408F">
              <w:rPr>
                <w:rFonts w:cs="Arial"/>
                <w:b/>
                <w:sz w:val="22"/>
                <w:szCs w:val="22"/>
                <w:lang w:val="es-CO" w:eastAsia="es-CO"/>
              </w:rPr>
              <w:t>3.4</w:t>
            </w:r>
            <w:r w:rsidR="00C2408F">
              <w:rPr>
                <w:rFonts w:cs="Arial"/>
                <w:b/>
                <w:bCs/>
                <w:sz w:val="22"/>
                <w:szCs w:val="22"/>
                <w:lang w:val="es-CO" w:eastAsia="es-CO"/>
              </w:rPr>
              <w:t>.</w:t>
            </w:r>
            <w:r w:rsidRPr="00C2408F">
              <w:rPr>
                <w:rFonts w:cs="Arial"/>
                <w:b/>
                <w:sz w:val="22"/>
                <w:szCs w:val="22"/>
                <w:lang w:val="es-CO" w:eastAsia="es-CO"/>
              </w:rPr>
              <w:t xml:space="preserve"> Revisión y análisis de la jurisprudencia que tenga impacto o sea relevante para la expedición del proyecto normativo (órganos de cierre de cada jurisdicción)</w:t>
            </w:r>
          </w:p>
          <w:p w:rsidR="00C2408F" w:rsidP="0075705D" w:rsidRDefault="00C2408F" w14:paraId="32E7EB84" w14:textId="77777777">
            <w:pPr>
              <w:ind w:left="494" w:hanging="283"/>
              <w:jc w:val="both"/>
              <w:rPr>
                <w:rFonts w:cs="Arial"/>
                <w:sz w:val="22"/>
                <w:szCs w:val="22"/>
                <w:lang w:val="es-CO" w:eastAsia="es-CO"/>
              </w:rPr>
            </w:pPr>
          </w:p>
          <w:p w:rsidR="00D05B67" w:rsidP="00673105" w:rsidRDefault="16DA42A2" w14:paraId="3268E490" w14:textId="716E6364">
            <w:pPr>
              <w:ind w:left="494" w:hanging="494"/>
              <w:jc w:val="both"/>
              <w:rPr>
                <w:rFonts w:cs="Arial"/>
                <w:sz w:val="22"/>
                <w:szCs w:val="22"/>
                <w:lang w:val="es-CO" w:eastAsia="es-CO"/>
              </w:rPr>
            </w:pPr>
            <w:r w:rsidRPr="00C2408F">
              <w:rPr>
                <w:rFonts w:cs="Arial"/>
                <w:sz w:val="22"/>
                <w:szCs w:val="22"/>
                <w:lang w:val="es-CO" w:eastAsia="es-CO"/>
              </w:rPr>
              <w:t>N</w:t>
            </w:r>
            <w:r w:rsidR="00C2408F">
              <w:rPr>
                <w:rFonts w:cs="Arial"/>
                <w:sz w:val="22"/>
                <w:szCs w:val="22"/>
                <w:lang w:val="es-CO" w:eastAsia="es-CO"/>
              </w:rPr>
              <w:t>o aplica</w:t>
            </w:r>
          </w:p>
          <w:p w:rsidRPr="00C2408F" w:rsidR="00C2408F" w:rsidP="0075705D" w:rsidRDefault="00C2408F" w14:paraId="3151E159" w14:textId="77777777">
            <w:pPr>
              <w:ind w:left="494" w:hanging="283"/>
              <w:jc w:val="both"/>
              <w:rPr>
                <w:rFonts w:cs="Arial"/>
                <w:sz w:val="22"/>
                <w:szCs w:val="22"/>
                <w:lang w:val="es-CO" w:eastAsia="es-CO"/>
              </w:rPr>
            </w:pPr>
          </w:p>
          <w:p w:rsidRPr="00C2408F" w:rsidR="00D05B67" w:rsidP="00C2408F" w:rsidRDefault="00D05B67" w14:paraId="7D154299" w14:textId="62D86118">
            <w:pPr>
              <w:pStyle w:val="Prrafodelista"/>
              <w:numPr>
                <w:ilvl w:val="1"/>
                <w:numId w:val="3"/>
              </w:numPr>
              <w:ind w:left="556" w:hanging="283"/>
              <w:jc w:val="both"/>
              <w:rPr>
                <w:rFonts w:cs="Arial"/>
                <w:b/>
                <w:sz w:val="22"/>
                <w:szCs w:val="22"/>
                <w:lang w:val="es-CO" w:eastAsia="es-CO"/>
              </w:rPr>
            </w:pPr>
            <w:r w:rsidRPr="00C2408F">
              <w:rPr>
                <w:rFonts w:cs="Arial"/>
                <w:b/>
                <w:sz w:val="22"/>
                <w:szCs w:val="22"/>
                <w:lang w:val="es-CO" w:eastAsia="es-CO"/>
              </w:rPr>
              <w:t xml:space="preserve">Circunstancias jurídicas adicionales </w:t>
            </w:r>
          </w:p>
          <w:p w:rsidR="00C24E42" w:rsidP="63CC942D" w:rsidRDefault="3FC718E7" w14:paraId="4CC4C7AE" w14:textId="77777777">
            <w:pPr>
              <w:spacing w:before="240" w:after="240"/>
              <w:jc w:val="both"/>
              <w:rPr>
                <w:rFonts w:eastAsia="Arial Narrow" w:cs="Arial"/>
                <w:sz w:val="22"/>
                <w:szCs w:val="22"/>
                <w:lang w:val="es-MX"/>
              </w:rPr>
            </w:pPr>
            <w:r w:rsidRPr="00C2408F">
              <w:rPr>
                <w:rFonts w:eastAsia="Arial Narrow" w:cs="Arial"/>
                <w:sz w:val="22"/>
                <w:szCs w:val="22"/>
                <w:lang w:val="es-MX"/>
              </w:rPr>
              <w:t xml:space="preserve">A la fecha, se registran </w:t>
            </w:r>
            <w:r w:rsidRPr="00C2408F">
              <w:rPr>
                <w:rFonts w:eastAsia="Arial Narrow" w:cs="Arial"/>
                <w:b/>
                <w:bCs/>
                <w:sz w:val="22"/>
                <w:szCs w:val="22"/>
                <w:lang w:val="es-MX"/>
              </w:rPr>
              <w:t xml:space="preserve">92 </w:t>
            </w:r>
            <w:r w:rsidRPr="00C2408F">
              <w:rPr>
                <w:rFonts w:eastAsia="Arial Narrow" w:cs="Arial"/>
                <w:sz w:val="22"/>
                <w:szCs w:val="22"/>
                <w:lang w:val="es-MX"/>
              </w:rPr>
              <w:t xml:space="preserve">resoluciones emitidas entre septiembre de 2021 y marzo de 2025, representando un valor acumulado de </w:t>
            </w:r>
            <w:r w:rsidRPr="00C2408F">
              <w:rPr>
                <w:rFonts w:eastAsia="Arial Narrow" w:cs="Arial"/>
                <w:b/>
                <w:bCs/>
                <w:sz w:val="22"/>
                <w:szCs w:val="22"/>
                <w:lang w:val="es-MX"/>
              </w:rPr>
              <w:t>$65.508</w:t>
            </w:r>
            <w:r w:rsidRPr="00C2408F">
              <w:rPr>
                <w:rFonts w:eastAsia="Arial Narrow" w:cs="Arial"/>
                <w:sz w:val="22"/>
                <w:szCs w:val="22"/>
                <w:lang w:val="es-MX"/>
              </w:rPr>
              <w:t xml:space="preserve"> millones en planes de inversión aprobados. </w:t>
            </w:r>
          </w:p>
          <w:p w:rsidRPr="00C2408F" w:rsidR="3FC718E7" w:rsidP="63CC942D" w:rsidRDefault="3FC718E7" w14:paraId="1DDEADEF" w14:textId="51D3FE04">
            <w:pPr>
              <w:spacing w:before="240" w:after="240"/>
              <w:jc w:val="both"/>
              <w:rPr>
                <w:rFonts w:cs="Arial"/>
              </w:rPr>
            </w:pPr>
            <w:r w:rsidRPr="00C2408F">
              <w:rPr>
                <w:rFonts w:eastAsia="Arial Narrow" w:cs="Arial"/>
                <w:sz w:val="22"/>
                <w:szCs w:val="22"/>
                <w:lang w:val="es-MX"/>
              </w:rPr>
              <w:t>En términos de distribución temporal, la siguiente tabla expone los actos administrativos de aprobación de excepción del pago de la contraprestación periódica desglosada por parágrafo transitorio y por año de expedición:</w:t>
            </w:r>
          </w:p>
          <w:tbl>
            <w:tblPr>
              <w:tblStyle w:val="Tablaconcuadrcula"/>
              <w:tblW w:w="10065" w:type="dxa"/>
              <w:tblInd w:w="263" w:type="dxa"/>
              <w:tblLayout w:type="fixed"/>
              <w:tblLook w:val="06A0" w:firstRow="1" w:lastRow="0" w:firstColumn="1" w:lastColumn="0" w:noHBand="1" w:noVBand="1"/>
            </w:tblPr>
            <w:tblGrid>
              <w:gridCol w:w="1086"/>
              <w:gridCol w:w="2612"/>
              <w:gridCol w:w="2727"/>
              <w:gridCol w:w="2506"/>
              <w:gridCol w:w="1134"/>
            </w:tblGrid>
            <w:tr w:rsidRPr="00C2408F" w:rsidR="63CC942D" w:rsidTr="00C24E42" w14:paraId="0FA49D9A" w14:textId="77777777">
              <w:trPr>
                <w:trHeight w:val="270"/>
              </w:trPr>
              <w:tc>
                <w:tcPr>
                  <w:tcW w:w="1086"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646FED23" w14:textId="793DEA39">
                  <w:pPr>
                    <w:jc w:val="center"/>
                    <w:rPr>
                      <w:rFonts w:cs="Arial"/>
                    </w:rPr>
                  </w:pPr>
                  <w:r w:rsidRPr="00C24E42">
                    <w:rPr>
                      <w:rFonts w:eastAsia="Arial Narrow" w:cs="Arial"/>
                      <w:b/>
                      <w:color w:val="000000" w:themeColor="text1"/>
                    </w:rPr>
                    <w:t>AÑO</w:t>
                  </w:r>
                </w:p>
              </w:tc>
              <w:tc>
                <w:tcPr>
                  <w:tcW w:w="2612"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2D88B674" w14:textId="0B02E4D6">
                  <w:pPr>
                    <w:jc w:val="center"/>
                    <w:rPr>
                      <w:rFonts w:cs="Arial"/>
                    </w:rPr>
                  </w:pPr>
                  <w:r w:rsidRPr="00C24E42">
                    <w:rPr>
                      <w:rFonts w:eastAsia="Arial Narrow" w:cs="Arial"/>
                      <w:b/>
                      <w:color w:val="000000" w:themeColor="text1"/>
                    </w:rPr>
                    <w:t>TRANSITORIO PRIMERO</w:t>
                  </w:r>
                </w:p>
              </w:tc>
              <w:tc>
                <w:tcPr>
                  <w:tcW w:w="2727"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783236A2" w14:textId="0A683BB1">
                  <w:pPr>
                    <w:jc w:val="center"/>
                    <w:rPr>
                      <w:rFonts w:cs="Arial"/>
                    </w:rPr>
                  </w:pPr>
                  <w:r w:rsidRPr="00C24E42">
                    <w:rPr>
                      <w:rFonts w:eastAsia="Arial Narrow" w:cs="Arial"/>
                      <w:b/>
                      <w:color w:val="000000" w:themeColor="text1"/>
                    </w:rPr>
                    <w:t>TRANSITORIO SEGUNDO</w:t>
                  </w:r>
                </w:p>
              </w:tc>
              <w:tc>
                <w:tcPr>
                  <w:tcW w:w="2506"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27212FBE" w14:textId="7DE9C4B9">
                  <w:pPr>
                    <w:jc w:val="center"/>
                    <w:rPr>
                      <w:rFonts w:cs="Arial"/>
                    </w:rPr>
                  </w:pPr>
                  <w:r w:rsidRPr="00C24E42">
                    <w:rPr>
                      <w:rFonts w:eastAsia="Arial Narrow" w:cs="Arial"/>
                      <w:b/>
                      <w:color w:val="000000" w:themeColor="text1"/>
                    </w:rPr>
                    <w:t>TRANSITORIO CUARTO</w:t>
                  </w:r>
                </w:p>
              </w:tc>
              <w:tc>
                <w:tcPr>
                  <w:tcW w:w="1134"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57A4CBEC" w14:textId="1FE482F6">
                  <w:pPr>
                    <w:jc w:val="center"/>
                    <w:rPr>
                      <w:rFonts w:cs="Arial"/>
                    </w:rPr>
                  </w:pPr>
                  <w:r w:rsidRPr="00C24E42">
                    <w:rPr>
                      <w:rFonts w:eastAsia="Arial Narrow" w:cs="Arial"/>
                      <w:b/>
                      <w:color w:val="000000" w:themeColor="text1"/>
                    </w:rPr>
                    <w:t xml:space="preserve">TOTAL </w:t>
                  </w:r>
                </w:p>
              </w:tc>
            </w:tr>
            <w:tr w:rsidRPr="00C2408F" w:rsidR="63CC942D" w:rsidTr="00C24E42" w14:paraId="5619FCDC" w14:textId="77777777">
              <w:trPr>
                <w:trHeight w:val="270"/>
              </w:trPr>
              <w:tc>
                <w:tcPr>
                  <w:tcW w:w="108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6F7F41D8" w14:textId="116D02E1">
                  <w:pPr>
                    <w:jc w:val="center"/>
                    <w:rPr>
                      <w:rFonts w:cs="Arial"/>
                    </w:rPr>
                  </w:pPr>
                  <w:r w:rsidRPr="00C24E42">
                    <w:rPr>
                      <w:rFonts w:eastAsia="Arial Narrow" w:cs="Arial"/>
                    </w:rPr>
                    <w:t>2021</w:t>
                  </w:r>
                </w:p>
              </w:tc>
              <w:tc>
                <w:tcPr>
                  <w:tcW w:w="261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273462E" w14:textId="53553008">
                  <w:pPr>
                    <w:jc w:val="center"/>
                    <w:rPr>
                      <w:rFonts w:cs="Arial"/>
                    </w:rPr>
                  </w:pPr>
                  <w:r w:rsidRPr="00C24E42">
                    <w:rPr>
                      <w:rFonts w:eastAsia="Arial Narrow" w:cs="Arial"/>
                    </w:rPr>
                    <w:t>1</w:t>
                  </w:r>
                </w:p>
              </w:tc>
              <w:tc>
                <w:tcPr>
                  <w:tcW w:w="2727"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4503F48" w14:textId="0C0DC7D7">
                  <w:pPr>
                    <w:jc w:val="center"/>
                    <w:rPr>
                      <w:rFonts w:cs="Arial"/>
                    </w:rPr>
                  </w:pPr>
                  <w:r w:rsidRPr="00C24E42">
                    <w:rPr>
                      <w:rFonts w:eastAsia="Arial Narrow" w:cs="Arial"/>
                    </w:rPr>
                    <w:t xml:space="preserve"> </w:t>
                  </w:r>
                </w:p>
              </w:tc>
              <w:tc>
                <w:tcPr>
                  <w:tcW w:w="250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7DF5616" w14:textId="20211413">
                  <w:pPr>
                    <w:jc w:val="center"/>
                    <w:rPr>
                      <w:rFonts w:cs="Arial"/>
                    </w:rPr>
                  </w:pPr>
                  <w:r w:rsidRPr="00C24E42">
                    <w:rPr>
                      <w:rFonts w:eastAsia="Arial Narrow" w:cs="Arial"/>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F268664" w14:textId="3AFF4CF4">
                  <w:pPr>
                    <w:jc w:val="center"/>
                    <w:rPr>
                      <w:rFonts w:cs="Arial"/>
                    </w:rPr>
                  </w:pPr>
                  <w:r w:rsidRPr="00C24E42">
                    <w:rPr>
                      <w:rFonts w:eastAsia="Arial Narrow" w:cs="Arial"/>
                    </w:rPr>
                    <w:t>1</w:t>
                  </w:r>
                </w:p>
              </w:tc>
            </w:tr>
            <w:tr w:rsidRPr="00C2408F" w:rsidR="63CC942D" w:rsidTr="00C24E42" w14:paraId="7D6874A6" w14:textId="77777777">
              <w:trPr>
                <w:trHeight w:val="300"/>
              </w:trPr>
              <w:tc>
                <w:tcPr>
                  <w:tcW w:w="108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78FED176" w14:textId="13C415A4">
                  <w:pPr>
                    <w:jc w:val="center"/>
                    <w:rPr>
                      <w:rFonts w:cs="Arial"/>
                    </w:rPr>
                  </w:pPr>
                  <w:r w:rsidRPr="00C24E42">
                    <w:rPr>
                      <w:rFonts w:eastAsia="Arial Narrow" w:cs="Arial"/>
                    </w:rPr>
                    <w:t>2022</w:t>
                  </w:r>
                </w:p>
              </w:tc>
              <w:tc>
                <w:tcPr>
                  <w:tcW w:w="261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57FA04C" w14:textId="25A800D8">
                  <w:pPr>
                    <w:jc w:val="center"/>
                    <w:rPr>
                      <w:rFonts w:cs="Arial"/>
                    </w:rPr>
                  </w:pPr>
                  <w:r w:rsidRPr="00C24E42">
                    <w:rPr>
                      <w:rFonts w:eastAsia="Arial Narrow" w:cs="Arial"/>
                    </w:rPr>
                    <w:t>3</w:t>
                  </w:r>
                </w:p>
              </w:tc>
              <w:tc>
                <w:tcPr>
                  <w:tcW w:w="2727"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45CBC5B" w14:textId="197E64FF">
                  <w:pPr>
                    <w:jc w:val="center"/>
                    <w:rPr>
                      <w:rFonts w:cs="Arial"/>
                    </w:rPr>
                  </w:pPr>
                  <w:r w:rsidRPr="00C24E42">
                    <w:rPr>
                      <w:rFonts w:eastAsia="Arial Narrow" w:cs="Arial"/>
                    </w:rPr>
                    <w:t>1</w:t>
                  </w:r>
                </w:p>
              </w:tc>
              <w:tc>
                <w:tcPr>
                  <w:tcW w:w="250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620A6BE" w14:textId="7CC910B8">
                  <w:pPr>
                    <w:jc w:val="center"/>
                    <w:rPr>
                      <w:rFonts w:cs="Arial"/>
                    </w:rPr>
                  </w:pPr>
                  <w:r w:rsidRPr="00C24E42">
                    <w:rPr>
                      <w:rFonts w:eastAsia="Arial Narrow" w:cs="Arial"/>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A837200" w14:textId="313215EC">
                  <w:pPr>
                    <w:jc w:val="center"/>
                    <w:rPr>
                      <w:rFonts w:cs="Arial"/>
                    </w:rPr>
                  </w:pPr>
                  <w:r w:rsidRPr="00C24E42">
                    <w:rPr>
                      <w:rFonts w:eastAsia="Arial Narrow" w:cs="Arial"/>
                    </w:rPr>
                    <w:t>4</w:t>
                  </w:r>
                </w:p>
              </w:tc>
            </w:tr>
            <w:tr w:rsidRPr="00C2408F" w:rsidR="63CC942D" w:rsidTr="00C24E42" w14:paraId="34294061" w14:textId="77777777">
              <w:trPr>
                <w:trHeight w:val="270"/>
              </w:trPr>
              <w:tc>
                <w:tcPr>
                  <w:tcW w:w="108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76CA7FC" w14:textId="363DFA12">
                  <w:pPr>
                    <w:jc w:val="center"/>
                    <w:rPr>
                      <w:rFonts w:cs="Arial"/>
                    </w:rPr>
                  </w:pPr>
                  <w:r w:rsidRPr="00C24E42">
                    <w:rPr>
                      <w:rFonts w:eastAsia="Arial Narrow" w:cs="Arial"/>
                    </w:rPr>
                    <w:t>2023</w:t>
                  </w:r>
                </w:p>
              </w:tc>
              <w:tc>
                <w:tcPr>
                  <w:tcW w:w="261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0E3D107" w14:textId="673113DD">
                  <w:pPr>
                    <w:jc w:val="center"/>
                    <w:rPr>
                      <w:rFonts w:cs="Arial"/>
                    </w:rPr>
                  </w:pPr>
                  <w:r w:rsidRPr="00C24E42">
                    <w:rPr>
                      <w:rFonts w:eastAsia="Arial Narrow" w:cs="Arial"/>
                    </w:rPr>
                    <w:t xml:space="preserve"> </w:t>
                  </w:r>
                </w:p>
              </w:tc>
              <w:tc>
                <w:tcPr>
                  <w:tcW w:w="2727"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9C136C5" w14:textId="1C99CDE0">
                  <w:pPr>
                    <w:jc w:val="center"/>
                    <w:rPr>
                      <w:rFonts w:cs="Arial"/>
                    </w:rPr>
                  </w:pPr>
                  <w:r w:rsidRPr="00C24E42">
                    <w:rPr>
                      <w:rFonts w:eastAsia="Arial Narrow" w:cs="Arial"/>
                    </w:rPr>
                    <w:t>21</w:t>
                  </w:r>
                </w:p>
              </w:tc>
              <w:tc>
                <w:tcPr>
                  <w:tcW w:w="250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95367D2" w14:textId="347F8288">
                  <w:pPr>
                    <w:jc w:val="center"/>
                    <w:rPr>
                      <w:rFonts w:cs="Arial"/>
                    </w:rPr>
                  </w:pPr>
                  <w:r w:rsidRPr="00C24E42">
                    <w:rPr>
                      <w:rFonts w:eastAsia="Arial Narrow" w:cs="Arial"/>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5D1F3183" w14:textId="5BE5F0DF">
                  <w:pPr>
                    <w:jc w:val="center"/>
                    <w:rPr>
                      <w:rFonts w:cs="Arial"/>
                    </w:rPr>
                  </w:pPr>
                  <w:r w:rsidRPr="00C24E42">
                    <w:rPr>
                      <w:rFonts w:eastAsia="Arial Narrow" w:cs="Arial"/>
                    </w:rPr>
                    <w:t>21</w:t>
                  </w:r>
                </w:p>
              </w:tc>
            </w:tr>
            <w:tr w:rsidRPr="00C2408F" w:rsidR="63CC942D" w:rsidTr="00C24E42" w14:paraId="5FEDFC2D" w14:textId="77777777">
              <w:trPr>
                <w:trHeight w:val="270"/>
              </w:trPr>
              <w:tc>
                <w:tcPr>
                  <w:tcW w:w="108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6512B194" w14:textId="2E80FBCE">
                  <w:pPr>
                    <w:jc w:val="center"/>
                    <w:rPr>
                      <w:rFonts w:cs="Arial"/>
                    </w:rPr>
                  </w:pPr>
                  <w:r w:rsidRPr="00C24E42">
                    <w:rPr>
                      <w:rFonts w:eastAsia="Arial Narrow" w:cs="Arial"/>
                    </w:rPr>
                    <w:t>2024</w:t>
                  </w:r>
                </w:p>
              </w:tc>
              <w:tc>
                <w:tcPr>
                  <w:tcW w:w="261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1C0D0BC9" w14:textId="4E6FC0FF">
                  <w:pPr>
                    <w:jc w:val="center"/>
                    <w:rPr>
                      <w:rFonts w:cs="Arial"/>
                    </w:rPr>
                  </w:pPr>
                  <w:r w:rsidRPr="00C24E42">
                    <w:rPr>
                      <w:rFonts w:eastAsia="Arial Narrow" w:cs="Arial"/>
                    </w:rPr>
                    <w:t xml:space="preserve"> </w:t>
                  </w:r>
                </w:p>
              </w:tc>
              <w:tc>
                <w:tcPr>
                  <w:tcW w:w="2727"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A09058E" w14:textId="120F8609">
                  <w:pPr>
                    <w:jc w:val="center"/>
                    <w:rPr>
                      <w:rFonts w:cs="Arial"/>
                    </w:rPr>
                  </w:pPr>
                  <w:r w:rsidRPr="00C24E42">
                    <w:rPr>
                      <w:rFonts w:eastAsia="Arial Narrow" w:cs="Arial"/>
                    </w:rPr>
                    <w:t>37</w:t>
                  </w:r>
                </w:p>
              </w:tc>
              <w:tc>
                <w:tcPr>
                  <w:tcW w:w="250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0E26F8B9" w14:textId="09BCA3CA">
                  <w:pPr>
                    <w:jc w:val="center"/>
                    <w:rPr>
                      <w:rFonts w:cs="Arial"/>
                    </w:rPr>
                  </w:pPr>
                  <w:r w:rsidRPr="00C24E42">
                    <w:rPr>
                      <w:rFonts w:eastAsia="Arial Narrow" w:cs="Arial"/>
                    </w:rPr>
                    <w:t>26</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64051A59" w14:textId="60096F4A">
                  <w:pPr>
                    <w:jc w:val="center"/>
                    <w:rPr>
                      <w:rFonts w:cs="Arial"/>
                    </w:rPr>
                  </w:pPr>
                  <w:r w:rsidRPr="00C24E42">
                    <w:rPr>
                      <w:rFonts w:eastAsia="Arial Narrow" w:cs="Arial"/>
                    </w:rPr>
                    <w:t>63</w:t>
                  </w:r>
                </w:p>
              </w:tc>
            </w:tr>
            <w:tr w:rsidRPr="00C2408F" w:rsidR="63CC942D" w:rsidTr="00C24E42" w14:paraId="7F31B929" w14:textId="77777777">
              <w:trPr>
                <w:trHeight w:val="270"/>
              </w:trPr>
              <w:tc>
                <w:tcPr>
                  <w:tcW w:w="108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35C50962" w14:textId="62EB7790">
                  <w:pPr>
                    <w:jc w:val="center"/>
                    <w:rPr>
                      <w:rFonts w:cs="Arial"/>
                    </w:rPr>
                  </w:pPr>
                  <w:r w:rsidRPr="00C24E42">
                    <w:rPr>
                      <w:rFonts w:eastAsia="Arial Narrow" w:cs="Arial"/>
                    </w:rPr>
                    <w:t>2025</w:t>
                  </w:r>
                </w:p>
              </w:tc>
              <w:tc>
                <w:tcPr>
                  <w:tcW w:w="261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4134A55" w14:textId="68315265">
                  <w:pPr>
                    <w:jc w:val="center"/>
                    <w:rPr>
                      <w:rFonts w:cs="Arial"/>
                    </w:rPr>
                  </w:pPr>
                  <w:r w:rsidRPr="00C24E42">
                    <w:rPr>
                      <w:rFonts w:eastAsia="Arial Narrow" w:cs="Arial"/>
                    </w:rPr>
                    <w:t xml:space="preserve"> </w:t>
                  </w:r>
                </w:p>
              </w:tc>
              <w:tc>
                <w:tcPr>
                  <w:tcW w:w="2727"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4CD4AD4" w14:textId="53A412B2">
                  <w:pPr>
                    <w:jc w:val="center"/>
                    <w:rPr>
                      <w:rFonts w:cs="Arial"/>
                    </w:rPr>
                  </w:pPr>
                  <w:r w:rsidRPr="00C24E42">
                    <w:rPr>
                      <w:rFonts w:eastAsia="Arial Narrow" w:cs="Arial"/>
                    </w:rPr>
                    <w:t xml:space="preserve"> </w:t>
                  </w:r>
                </w:p>
              </w:tc>
              <w:tc>
                <w:tcPr>
                  <w:tcW w:w="2506"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1CD1F190" w14:textId="208D191C">
                  <w:pPr>
                    <w:jc w:val="center"/>
                    <w:rPr>
                      <w:rFonts w:cs="Arial"/>
                    </w:rPr>
                  </w:pPr>
                  <w:r w:rsidRPr="00C24E42">
                    <w:rPr>
                      <w:rFonts w:eastAsia="Arial Narrow" w:cs="Arial"/>
                    </w:rPr>
                    <w:t>3</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49F9BFAC" w14:textId="5B29C1E8">
                  <w:pPr>
                    <w:jc w:val="center"/>
                    <w:rPr>
                      <w:rFonts w:cs="Arial"/>
                    </w:rPr>
                  </w:pPr>
                  <w:r w:rsidRPr="00C24E42">
                    <w:rPr>
                      <w:rFonts w:eastAsia="Arial Narrow" w:cs="Arial"/>
                    </w:rPr>
                    <w:t>3</w:t>
                  </w:r>
                </w:p>
              </w:tc>
            </w:tr>
            <w:tr w:rsidRPr="00C2408F" w:rsidR="63CC942D" w:rsidTr="00C24E42" w14:paraId="49BBA3D3" w14:textId="77777777">
              <w:trPr>
                <w:trHeight w:val="270"/>
              </w:trPr>
              <w:tc>
                <w:tcPr>
                  <w:tcW w:w="1086"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1069D857" w14:textId="2E83C372">
                  <w:pPr>
                    <w:jc w:val="center"/>
                    <w:rPr>
                      <w:rFonts w:cs="Arial"/>
                    </w:rPr>
                  </w:pPr>
                  <w:r w:rsidRPr="00C24E42">
                    <w:rPr>
                      <w:rFonts w:eastAsia="Arial Narrow" w:cs="Arial"/>
                      <w:b/>
                      <w:color w:val="000000" w:themeColor="text1"/>
                    </w:rPr>
                    <w:t xml:space="preserve">TOTAL </w:t>
                  </w:r>
                </w:p>
              </w:tc>
              <w:tc>
                <w:tcPr>
                  <w:tcW w:w="2612"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5FA5EEFD" w14:textId="21A4D532">
                  <w:pPr>
                    <w:jc w:val="center"/>
                    <w:rPr>
                      <w:rFonts w:cs="Arial"/>
                    </w:rPr>
                  </w:pPr>
                  <w:r w:rsidRPr="00C24E42">
                    <w:rPr>
                      <w:rFonts w:eastAsia="Arial Narrow" w:cs="Arial"/>
                      <w:b/>
                      <w:color w:val="000000" w:themeColor="text1"/>
                    </w:rPr>
                    <w:t>4</w:t>
                  </w:r>
                </w:p>
              </w:tc>
              <w:tc>
                <w:tcPr>
                  <w:tcW w:w="2727"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781BEF0F" w14:textId="2060BE92">
                  <w:pPr>
                    <w:jc w:val="center"/>
                    <w:rPr>
                      <w:rFonts w:cs="Arial"/>
                    </w:rPr>
                  </w:pPr>
                  <w:r w:rsidRPr="00C24E42">
                    <w:rPr>
                      <w:rFonts w:eastAsia="Arial Narrow" w:cs="Arial"/>
                      <w:b/>
                      <w:color w:val="000000" w:themeColor="text1"/>
                    </w:rPr>
                    <w:t>59</w:t>
                  </w:r>
                </w:p>
              </w:tc>
              <w:tc>
                <w:tcPr>
                  <w:tcW w:w="2506"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55253717" w14:textId="45827A11">
                  <w:pPr>
                    <w:jc w:val="center"/>
                    <w:rPr>
                      <w:rFonts w:cs="Arial"/>
                    </w:rPr>
                  </w:pPr>
                  <w:r w:rsidRPr="00C24E42">
                    <w:rPr>
                      <w:rFonts w:eastAsia="Arial Narrow" w:cs="Arial"/>
                      <w:b/>
                      <w:color w:val="000000" w:themeColor="text1"/>
                    </w:rPr>
                    <w:t>29</w:t>
                  </w:r>
                </w:p>
              </w:tc>
              <w:tc>
                <w:tcPr>
                  <w:tcW w:w="1134"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2BC44CA6" w14:textId="5714ACC0">
                  <w:pPr>
                    <w:jc w:val="center"/>
                    <w:rPr>
                      <w:rFonts w:cs="Arial"/>
                    </w:rPr>
                  </w:pPr>
                  <w:r w:rsidRPr="00C24E42">
                    <w:rPr>
                      <w:rFonts w:eastAsia="Arial Narrow" w:cs="Arial"/>
                      <w:b/>
                      <w:color w:val="000000" w:themeColor="text1"/>
                    </w:rPr>
                    <w:t>92</w:t>
                  </w:r>
                </w:p>
              </w:tc>
            </w:tr>
          </w:tbl>
          <w:p w:rsidRPr="00C2408F" w:rsidR="3FC718E7" w:rsidP="63CC942D" w:rsidRDefault="3FC718E7" w14:paraId="4C035E1C" w14:textId="0AF732C7">
            <w:pPr>
              <w:spacing w:before="240" w:after="240"/>
              <w:jc w:val="both"/>
              <w:rPr>
                <w:rFonts w:cs="Arial"/>
              </w:rPr>
            </w:pPr>
            <w:r w:rsidRPr="00C2408F">
              <w:rPr>
                <w:rFonts w:eastAsia="Arial Narrow" w:cs="Arial"/>
                <w:sz w:val="22"/>
                <w:szCs w:val="22"/>
                <w:lang w:val="es-MX"/>
              </w:rPr>
              <w:t>A su vez, en la siguiente tabla se observa, el promedio de los valores de los planes de inversión aprobados por año de expedición:</w:t>
            </w:r>
          </w:p>
          <w:tbl>
            <w:tblPr>
              <w:tblStyle w:val="Tablaconcuadrcula"/>
              <w:tblW w:w="10065" w:type="dxa"/>
              <w:tblInd w:w="263" w:type="dxa"/>
              <w:tblLayout w:type="fixed"/>
              <w:tblLook w:val="04A0" w:firstRow="1" w:lastRow="0" w:firstColumn="1" w:lastColumn="0" w:noHBand="0" w:noVBand="1"/>
            </w:tblPr>
            <w:tblGrid>
              <w:gridCol w:w="2552"/>
              <w:gridCol w:w="7513"/>
            </w:tblGrid>
            <w:tr w:rsidRPr="00C2408F" w:rsidR="63CC942D" w:rsidTr="00161272" w14:paraId="0857B848" w14:textId="77777777">
              <w:trPr>
                <w:trHeight w:val="210"/>
              </w:trPr>
              <w:tc>
                <w:tcPr>
                  <w:tcW w:w="2552"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566C6A8C" w14:textId="1907B4F1">
                  <w:pPr>
                    <w:jc w:val="center"/>
                    <w:rPr>
                      <w:rFonts w:cs="Arial"/>
                    </w:rPr>
                  </w:pPr>
                  <w:r w:rsidRPr="005E233F">
                    <w:rPr>
                      <w:rFonts w:eastAsia="Arial Narrow" w:cs="Arial"/>
                      <w:b/>
                      <w:color w:val="000000" w:themeColor="text1"/>
                    </w:rPr>
                    <w:t>AÑO</w:t>
                  </w:r>
                </w:p>
              </w:tc>
              <w:tc>
                <w:tcPr>
                  <w:tcW w:w="7513" w:type="dxa"/>
                  <w:tcBorders>
                    <w:top w:val="single" w:color="auto" w:sz="8" w:space="0"/>
                    <w:left w:val="single" w:color="auto" w:sz="8" w:space="0"/>
                    <w:bottom w:val="single" w:color="auto" w:sz="8" w:space="0"/>
                    <w:right w:val="single" w:color="auto" w:sz="8" w:space="0"/>
                  </w:tcBorders>
                  <w:shd w:val="clear" w:color="auto" w:fill="E8E8E8"/>
                  <w:tcMar>
                    <w:left w:w="108" w:type="dxa"/>
                    <w:right w:w="108" w:type="dxa"/>
                  </w:tcMar>
                </w:tcPr>
                <w:p w:rsidRPr="00C2408F" w:rsidR="63CC942D" w:rsidP="63CC942D" w:rsidRDefault="63CC942D" w14:paraId="3CFB30FA" w14:textId="5D380290">
                  <w:pPr>
                    <w:jc w:val="center"/>
                    <w:rPr>
                      <w:rFonts w:cs="Arial"/>
                    </w:rPr>
                  </w:pPr>
                  <w:r w:rsidRPr="005E233F">
                    <w:rPr>
                      <w:rFonts w:eastAsia="Arial Narrow" w:cs="Arial"/>
                      <w:b/>
                      <w:color w:val="000000" w:themeColor="text1"/>
                    </w:rPr>
                    <w:t>PROMEDIO PLAN DE INVERSIÓN (COP)</w:t>
                  </w:r>
                </w:p>
              </w:tc>
            </w:tr>
            <w:tr w:rsidRPr="00C2408F" w:rsidR="63CC942D" w:rsidTr="00161272" w14:paraId="785805F6" w14:textId="77777777">
              <w:trPr>
                <w:trHeight w:val="21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7BE53DEA" w14:textId="3F8698A4">
                  <w:pPr>
                    <w:jc w:val="center"/>
                    <w:rPr>
                      <w:rFonts w:cs="Arial"/>
                    </w:rPr>
                  </w:pPr>
                  <w:r w:rsidRPr="005E233F">
                    <w:rPr>
                      <w:rFonts w:eastAsia="Arial Narrow" w:cs="Arial"/>
                      <w:color w:val="000000" w:themeColor="text1"/>
                    </w:rPr>
                    <w:t>2021</w:t>
                  </w:r>
                </w:p>
              </w:tc>
              <w:tc>
                <w:tcPr>
                  <w:tcW w:w="7513"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7EC426F9" w14:textId="7A7E0FBD">
                  <w:pPr>
                    <w:jc w:val="right"/>
                    <w:rPr>
                      <w:rFonts w:cs="Arial"/>
                    </w:rPr>
                  </w:pPr>
                  <w:r w:rsidRPr="005E233F">
                    <w:rPr>
                      <w:rFonts w:eastAsia="Arial Narrow" w:cs="Arial"/>
                      <w:color w:val="000000" w:themeColor="text1"/>
                    </w:rPr>
                    <w:t xml:space="preserve"> $                           249.257.042 </w:t>
                  </w:r>
                </w:p>
              </w:tc>
            </w:tr>
            <w:tr w:rsidRPr="00C2408F" w:rsidR="63CC942D" w:rsidTr="00161272" w14:paraId="0491E748" w14:textId="77777777">
              <w:trPr>
                <w:trHeight w:val="21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72A68CE2" w14:textId="758272A2">
                  <w:pPr>
                    <w:jc w:val="center"/>
                    <w:rPr>
                      <w:rFonts w:cs="Arial"/>
                    </w:rPr>
                  </w:pPr>
                  <w:r w:rsidRPr="005E233F">
                    <w:rPr>
                      <w:rFonts w:eastAsia="Arial Narrow" w:cs="Arial"/>
                      <w:color w:val="000000" w:themeColor="text1"/>
                    </w:rPr>
                    <w:t>2022</w:t>
                  </w:r>
                </w:p>
              </w:tc>
              <w:tc>
                <w:tcPr>
                  <w:tcW w:w="7513"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79B87C6" w14:textId="500CEAA5">
                  <w:pPr>
                    <w:jc w:val="right"/>
                    <w:rPr>
                      <w:rFonts w:cs="Arial"/>
                    </w:rPr>
                  </w:pPr>
                  <w:r w:rsidRPr="005E233F">
                    <w:rPr>
                      <w:rFonts w:eastAsia="Arial Narrow" w:cs="Arial"/>
                      <w:color w:val="000000" w:themeColor="text1"/>
                    </w:rPr>
                    <w:t xml:space="preserve"> $                           790.106.823 </w:t>
                  </w:r>
                </w:p>
              </w:tc>
            </w:tr>
            <w:tr w:rsidRPr="00C2408F" w:rsidR="63CC942D" w:rsidTr="00161272" w14:paraId="1295DCE7" w14:textId="77777777">
              <w:trPr>
                <w:trHeight w:val="21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6571AD7A" w14:textId="1FFF9E11">
                  <w:pPr>
                    <w:jc w:val="center"/>
                    <w:rPr>
                      <w:rFonts w:cs="Arial"/>
                    </w:rPr>
                  </w:pPr>
                  <w:r w:rsidRPr="005E233F">
                    <w:rPr>
                      <w:rFonts w:eastAsia="Arial Narrow" w:cs="Arial"/>
                      <w:color w:val="000000" w:themeColor="text1"/>
                    </w:rPr>
                    <w:t>2023</w:t>
                  </w:r>
                </w:p>
              </w:tc>
              <w:tc>
                <w:tcPr>
                  <w:tcW w:w="7513"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549468B" w14:textId="649B95DD">
                  <w:pPr>
                    <w:jc w:val="right"/>
                    <w:rPr>
                      <w:rFonts w:cs="Arial"/>
                    </w:rPr>
                  </w:pPr>
                  <w:r w:rsidRPr="005E233F">
                    <w:rPr>
                      <w:rFonts w:eastAsia="Arial Narrow" w:cs="Arial"/>
                      <w:color w:val="000000" w:themeColor="text1"/>
                    </w:rPr>
                    <w:t xml:space="preserve"> $                        1.203.144.570 </w:t>
                  </w:r>
                </w:p>
              </w:tc>
            </w:tr>
            <w:tr w:rsidRPr="00C2408F" w:rsidR="63CC942D" w:rsidTr="00161272" w14:paraId="6DEDEEF7" w14:textId="77777777">
              <w:trPr>
                <w:trHeight w:val="21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2A1C8918" w14:textId="6227E0DB">
                  <w:pPr>
                    <w:jc w:val="center"/>
                    <w:rPr>
                      <w:rFonts w:cs="Arial"/>
                    </w:rPr>
                  </w:pPr>
                  <w:r w:rsidRPr="005E233F">
                    <w:rPr>
                      <w:rFonts w:eastAsia="Arial Narrow" w:cs="Arial"/>
                      <w:color w:val="000000" w:themeColor="text1"/>
                    </w:rPr>
                    <w:t>2024</w:t>
                  </w:r>
                </w:p>
              </w:tc>
              <w:tc>
                <w:tcPr>
                  <w:tcW w:w="7513"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36AC1064" w14:textId="508340B0">
                  <w:pPr>
                    <w:jc w:val="right"/>
                    <w:rPr>
                      <w:rFonts w:cs="Arial"/>
                    </w:rPr>
                  </w:pPr>
                  <w:r w:rsidRPr="005E233F">
                    <w:rPr>
                      <w:rFonts w:eastAsia="Arial Narrow" w:cs="Arial"/>
                      <w:color w:val="000000" w:themeColor="text1"/>
                    </w:rPr>
                    <w:t xml:space="preserve"> $                           566.956.429 </w:t>
                  </w:r>
                </w:p>
              </w:tc>
            </w:tr>
            <w:tr w:rsidRPr="00C2408F" w:rsidR="63CC942D" w:rsidTr="00161272" w14:paraId="3B5A1C88" w14:textId="77777777">
              <w:trPr>
                <w:trHeight w:val="210"/>
              </w:trPr>
              <w:tc>
                <w:tcPr>
                  <w:tcW w:w="2552"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02C0724C" w14:textId="30CB69BD">
                  <w:pPr>
                    <w:jc w:val="center"/>
                    <w:rPr>
                      <w:rFonts w:cs="Arial"/>
                    </w:rPr>
                  </w:pPr>
                  <w:r w:rsidRPr="005E233F">
                    <w:rPr>
                      <w:rFonts w:eastAsia="Arial Narrow" w:cs="Arial"/>
                      <w:color w:val="000000" w:themeColor="text1"/>
                    </w:rPr>
                    <w:t>2025</w:t>
                  </w:r>
                </w:p>
              </w:tc>
              <w:tc>
                <w:tcPr>
                  <w:tcW w:w="7513" w:type="dxa"/>
                  <w:tcBorders>
                    <w:top w:val="single" w:color="auto" w:sz="8" w:space="0"/>
                    <w:left w:val="single" w:color="auto" w:sz="8" w:space="0"/>
                    <w:bottom w:val="single" w:color="auto" w:sz="8" w:space="0"/>
                    <w:right w:val="single" w:color="auto" w:sz="8" w:space="0"/>
                  </w:tcBorders>
                  <w:tcMar>
                    <w:left w:w="108" w:type="dxa"/>
                    <w:right w:w="108" w:type="dxa"/>
                  </w:tcMar>
                </w:tcPr>
                <w:p w:rsidRPr="00C2408F" w:rsidR="63CC942D" w:rsidP="63CC942D" w:rsidRDefault="63CC942D" w14:paraId="7193D85B" w14:textId="06CA486B">
                  <w:pPr>
                    <w:jc w:val="right"/>
                    <w:rPr>
                      <w:rFonts w:cs="Arial"/>
                    </w:rPr>
                  </w:pPr>
                  <w:r w:rsidRPr="005E233F">
                    <w:rPr>
                      <w:rFonts w:eastAsia="Arial Narrow" w:cs="Arial"/>
                      <w:color w:val="000000" w:themeColor="text1"/>
                    </w:rPr>
                    <w:t xml:space="preserve"> $                </w:t>
                  </w:r>
                  <w:r w:rsidR="00D625FD">
                    <w:rPr>
                      <w:rFonts w:eastAsia="Arial Narrow" w:cs="Arial"/>
                      <w:color w:val="000000" w:themeColor="text1"/>
                    </w:rPr>
                    <w:t xml:space="preserve"> </w:t>
                  </w:r>
                  <w:r w:rsidRPr="005E233F">
                    <w:rPr>
                      <w:rFonts w:eastAsia="Arial Narrow" w:cs="Arial"/>
                      <w:color w:val="000000" w:themeColor="text1"/>
                    </w:rPr>
                    <w:t xml:space="preserve">          </w:t>
                  </w:r>
                  <w:r w:rsidRPr="00D625FD" w:rsidR="00D625FD">
                    <w:rPr>
                      <w:rFonts w:eastAsia="Arial Narrow" w:cs="Arial"/>
                      <w:color w:val="000000" w:themeColor="text1"/>
                    </w:rPr>
                    <w:t>435.580.102</w:t>
                  </w:r>
                  <w:r w:rsidRPr="005E233F">
                    <w:rPr>
                      <w:rFonts w:eastAsia="Arial Narrow" w:cs="Arial"/>
                      <w:color w:val="000000" w:themeColor="text1"/>
                    </w:rPr>
                    <w:t xml:space="preserve"> </w:t>
                  </w:r>
                </w:p>
              </w:tc>
            </w:tr>
          </w:tbl>
          <w:p w:rsidRPr="00C2408F" w:rsidR="3FC718E7" w:rsidP="63CC942D" w:rsidRDefault="3FC718E7" w14:paraId="4422ECF5" w14:textId="6ACCBD47">
            <w:pPr>
              <w:ind w:left="1080"/>
              <w:jc w:val="both"/>
              <w:rPr>
                <w:rFonts w:cs="Arial"/>
              </w:rPr>
            </w:pPr>
            <w:r w:rsidRPr="00C2408F">
              <w:rPr>
                <w:rFonts w:eastAsia="Arial Narrow" w:cs="Arial"/>
                <w:b/>
                <w:sz w:val="22"/>
                <w:szCs w:val="22"/>
                <w:lang w:val="es-MX"/>
              </w:rPr>
              <w:t xml:space="preserve"> </w:t>
            </w:r>
          </w:p>
          <w:p w:rsidRPr="00C2408F" w:rsidR="3FC718E7" w:rsidP="009E24BA" w:rsidRDefault="3FC718E7" w14:paraId="1208117E" w14:textId="43873C2A">
            <w:pPr>
              <w:pStyle w:val="Prrafodelista"/>
              <w:numPr>
                <w:ilvl w:val="0"/>
                <w:numId w:val="1"/>
              </w:numPr>
              <w:ind w:left="1080"/>
              <w:jc w:val="both"/>
              <w:rPr>
                <w:rFonts w:eastAsia="Arial Narrow" w:cs="Arial"/>
                <w:b/>
                <w:sz w:val="22"/>
                <w:szCs w:val="22"/>
                <w:lang w:val="es-MX"/>
              </w:rPr>
            </w:pPr>
            <w:r w:rsidRPr="00C2408F">
              <w:rPr>
                <w:rFonts w:eastAsia="Arial Narrow" w:cs="Arial"/>
                <w:b/>
                <w:sz w:val="22"/>
                <w:szCs w:val="22"/>
                <w:lang w:val="es-MX"/>
              </w:rPr>
              <w:t>Solicitudes en curso:</w:t>
            </w:r>
          </w:p>
          <w:p w:rsidRPr="00C2408F" w:rsidR="005E233F" w:rsidP="005E233F" w:rsidRDefault="005E233F" w14:paraId="1CC5D55A" w14:textId="77777777">
            <w:pPr>
              <w:pStyle w:val="Prrafodelista"/>
              <w:ind w:left="1080"/>
              <w:jc w:val="both"/>
              <w:rPr>
                <w:rFonts w:eastAsia="Arial Narrow" w:cs="Arial"/>
                <w:b/>
                <w:bCs/>
                <w:sz w:val="22"/>
                <w:szCs w:val="22"/>
                <w:lang w:val="es-MX"/>
              </w:rPr>
            </w:pPr>
          </w:p>
          <w:p w:rsidRPr="00C2408F" w:rsidR="3FC718E7" w:rsidP="63CC942D" w:rsidRDefault="3FC718E7" w14:paraId="12BAB4E2" w14:textId="2F19CEF4">
            <w:pPr>
              <w:spacing w:after="160"/>
              <w:jc w:val="both"/>
              <w:rPr>
                <w:rFonts w:cs="Arial"/>
              </w:rPr>
            </w:pPr>
            <w:r w:rsidRPr="6C682B2B" w:rsidR="3FC718E7">
              <w:rPr>
                <w:rFonts w:eastAsia="Arial Narrow" w:cs="Arial"/>
                <w:sz w:val="22"/>
                <w:szCs w:val="22"/>
                <w:lang w:val="es-MX"/>
              </w:rPr>
              <w:t xml:space="preserve">Se identifican </w:t>
            </w:r>
            <w:r w:rsidRPr="6C682B2B" w:rsidR="5D1DA439">
              <w:rPr>
                <w:rFonts w:eastAsia="Arial Narrow" w:cs="Arial"/>
                <w:b w:val="1"/>
                <w:bCs w:val="1"/>
                <w:sz w:val="22"/>
                <w:szCs w:val="22"/>
                <w:lang w:val="es-MX"/>
              </w:rPr>
              <w:t xml:space="preserve">61 </w:t>
            </w:r>
            <w:r w:rsidRPr="6C682B2B" w:rsidR="3FC718E7">
              <w:rPr>
                <w:rFonts w:eastAsia="Arial Narrow" w:cs="Arial"/>
                <w:sz w:val="22"/>
                <w:szCs w:val="22"/>
                <w:lang w:val="es-MX"/>
              </w:rPr>
              <w:t xml:space="preserve">operadores con solicitudes en curso, que representan un valor total estimado en </w:t>
            </w:r>
            <w:r w:rsidRPr="6C682B2B" w:rsidR="3FC718E7">
              <w:rPr>
                <w:rFonts w:eastAsia="Arial Narrow" w:cs="Arial"/>
                <w:b w:val="1"/>
                <w:bCs w:val="1"/>
                <w:sz w:val="22"/>
                <w:szCs w:val="22"/>
                <w:lang w:val="es-MX"/>
              </w:rPr>
              <w:t>$</w:t>
            </w:r>
            <w:r w:rsidRPr="6C682B2B" w:rsidR="3A79645C">
              <w:rPr>
                <w:rFonts w:eastAsia="Arial Narrow" w:cs="Arial"/>
                <w:b w:val="1"/>
                <w:bCs w:val="1"/>
                <w:sz w:val="22"/>
                <w:szCs w:val="22"/>
                <w:lang w:val="es-MX"/>
              </w:rPr>
              <w:t>34</w:t>
            </w:r>
            <w:r w:rsidRPr="6C682B2B" w:rsidR="3FC718E7">
              <w:rPr>
                <w:rFonts w:eastAsia="Arial Narrow" w:cs="Arial"/>
                <w:b w:val="1"/>
                <w:bCs w:val="1"/>
                <w:sz w:val="22"/>
                <w:szCs w:val="22"/>
                <w:lang w:val="es-MX"/>
              </w:rPr>
              <w:t>.</w:t>
            </w:r>
            <w:r w:rsidRPr="6C682B2B" w:rsidR="00BF67E9">
              <w:rPr>
                <w:rFonts w:eastAsia="Arial Narrow" w:cs="Arial"/>
                <w:b w:val="1"/>
                <w:bCs w:val="1"/>
                <w:sz w:val="22"/>
                <w:szCs w:val="22"/>
                <w:lang w:val="es-MX"/>
              </w:rPr>
              <w:t>2</w:t>
            </w:r>
            <w:r w:rsidRPr="6C682B2B" w:rsidR="4E5B2337">
              <w:rPr>
                <w:rFonts w:eastAsia="Arial Narrow" w:cs="Arial"/>
                <w:b w:val="1"/>
                <w:bCs w:val="1"/>
                <w:sz w:val="22"/>
                <w:szCs w:val="22"/>
                <w:lang w:val="es-MX"/>
              </w:rPr>
              <w:t>9</w:t>
            </w:r>
            <w:r w:rsidRPr="6C682B2B" w:rsidR="00BF67E9">
              <w:rPr>
                <w:rFonts w:eastAsia="Arial Narrow" w:cs="Arial"/>
                <w:b w:val="1"/>
                <w:bCs w:val="1"/>
                <w:sz w:val="22"/>
                <w:szCs w:val="22"/>
                <w:lang w:val="es-MX"/>
              </w:rPr>
              <w:t>3</w:t>
            </w:r>
            <w:r w:rsidRPr="6C682B2B" w:rsidR="3FC718E7">
              <w:rPr>
                <w:rFonts w:eastAsia="Arial Narrow" w:cs="Arial"/>
                <w:sz w:val="22"/>
                <w:szCs w:val="22"/>
                <w:lang w:val="es-MX"/>
              </w:rPr>
              <w:t xml:space="preserve"> millones en planes de inversión destinados principalmente a la expansión de la conectividad y la mejora de la calidad del servicio de Internet fijo residencial minorista.</w:t>
            </w:r>
          </w:p>
          <w:p w:rsidRPr="00C2408F" w:rsidR="3FC718E7" w:rsidP="6C682B2B" w:rsidRDefault="3FC718E7" w14:paraId="0A9FEB38" w14:textId="3C977BB2">
            <w:pPr>
              <w:pStyle w:val="Normal"/>
              <w:spacing w:after="160"/>
              <w:jc w:val="both"/>
              <w:rPr>
                <w:rFonts w:eastAsia="Arial Narrow" w:cs="Arial"/>
                <w:sz w:val="22"/>
                <w:szCs w:val="22"/>
                <w:lang w:val="es-MX"/>
              </w:rPr>
            </w:pPr>
            <w:r w:rsidRPr="6C682B2B" w:rsidR="3FC718E7">
              <w:rPr>
                <w:rFonts w:eastAsia="Arial Narrow" w:cs="Arial"/>
                <w:sz w:val="22"/>
                <w:szCs w:val="22"/>
                <w:lang w:val="es-MX"/>
              </w:rPr>
              <w:t xml:space="preserve">Del total, </w:t>
            </w:r>
            <w:r w:rsidRPr="6C682B2B" w:rsidR="00BF67E9">
              <w:rPr>
                <w:rFonts w:eastAsia="Arial Narrow" w:cs="Arial"/>
                <w:b w:val="1"/>
                <w:bCs w:val="1"/>
                <w:sz w:val="22"/>
                <w:szCs w:val="22"/>
                <w:lang w:val="es-MX"/>
              </w:rPr>
              <w:t>43</w:t>
            </w:r>
            <w:r w:rsidRPr="6C682B2B" w:rsidR="3FC718E7">
              <w:rPr>
                <w:rFonts w:eastAsia="Arial Narrow" w:cs="Arial"/>
                <w:sz w:val="22"/>
                <w:szCs w:val="22"/>
                <w:lang w:val="es-MX"/>
              </w:rPr>
              <w:t xml:space="preserve"> solicitudes se buscan acoger al Parágrafo</w:t>
            </w:r>
            <w:r w:rsidRPr="6C682B2B" w:rsidR="1F039C39">
              <w:rPr>
                <w:rFonts w:eastAsia="Arial Narrow" w:cs="Arial"/>
                <w:sz w:val="22"/>
                <w:szCs w:val="22"/>
                <w:lang w:val="es-MX"/>
              </w:rPr>
              <w:t xml:space="preserve"> transitorio</w:t>
            </w:r>
            <w:r w:rsidRPr="6C682B2B" w:rsidR="3FC718E7">
              <w:rPr>
                <w:rFonts w:eastAsia="Arial Narrow" w:cs="Arial"/>
                <w:sz w:val="22"/>
                <w:szCs w:val="22"/>
                <w:lang w:val="es-MX"/>
              </w:rPr>
              <w:t xml:space="preserve"> </w:t>
            </w:r>
            <w:r w:rsidRPr="6C682B2B" w:rsidR="24B1CE9B">
              <w:rPr>
                <w:rFonts w:eastAsia="Arial Narrow" w:cs="Arial"/>
                <w:sz w:val="22"/>
                <w:szCs w:val="22"/>
                <w:lang w:val="es-MX"/>
              </w:rPr>
              <w:t>4;</w:t>
            </w:r>
            <w:r w:rsidRPr="6C682B2B" w:rsidR="3FC718E7">
              <w:rPr>
                <w:rFonts w:eastAsia="Arial Narrow" w:cs="Arial"/>
                <w:sz w:val="22"/>
                <w:szCs w:val="22"/>
                <w:lang w:val="es-MX"/>
              </w:rPr>
              <w:t xml:space="preserve"> </w:t>
            </w:r>
            <w:r w:rsidRPr="6C682B2B" w:rsidR="00BF67E9">
              <w:rPr>
                <w:rFonts w:eastAsia="Arial Narrow" w:cs="Arial"/>
                <w:b w:val="1"/>
                <w:bCs w:val="1"/>
                <w:sz w:val="22"/>
                <w:szCs w:val="22"/>
                <w:lang w:val="es-MX"/>
              </w:rPr>
              <w:t>1</w:t>
            </w:r>
            <w:r w:rsidRPr="6C682B2B" w:rsidR="4D45AACB">
              <w:rPr>
                <w:rFonts w:eastAsia="Arial Narrow" w:cs="Arial"/>
                <w:b w:val="1"/>
                <w:bCs w:val="1"/>
                <w:sz w:val="22"/>
                <w:szCs w:val="22"/>
                <w:lang w:val="es-MX"/>
              </w:rPr>
              <w:t xml:space="preserve">6 </w:t>
            </w:r>
            <w:r w:rsidRPr="6C682B2B" w:rsidR="2C28E270">
              <w:rPr>
                <w:rFonts w:eastAsia="Arial Narrow" w:cs="Arial"/>
                <w:b w:val="0"/>
                <w:bCs w:val="0"/>
                <w:sz w:val="22"/>
                <w:szCs w:val="22"/>
                <w:lang w:val="es-MX"/>
              </w:rPr>
              <w:t>b</w:t>
            </w:r>
            <w:r w:rsidRPr="6C682B2B" w:rsidR="3FC718E7">
              <w:rPr>
                <w:rFonts w:eastAsia="Arial Narrow" w:cs="Arial"/>
                <w:sz w:val="22"/>
                <w:szCs w:val="22"/>
                <w:lang w:val="es-MX"/>
              </w:rPr>
              <w:t>uscan acoger</w:t>
            </w:r>
            <w:r w:rsidRPr="6C682B2B" w:rsidR="29316E54">
              <w:rPr>
                <w:rFonts w:eastAsia="Arial Narrow" w:cs="Arial"/>
                <w:sz w:val="22"/>
                <w:szCs w:val="22"/>
                <w:lang w:val="es-MX"/>
              </w:rPr>
              <w:t>se</w:t>
            </w:r>
            <w:r w:rsidRPr="6C682B2B" w:rsidR="3FC718E7">
              <w:rPr>
                <w:rFonts w:eastAsia="Arial Narrow" w:cs="Arial"/>
                <w:sz w:val="22"/>
                <w:szCs w:val="22"/>
                <w:lang w:val="es-MX"/>
              </w:rPr>
              <w:t xml:space="preserve"> a al Parágrafo</w:t>
            </w:r>
            <w:r w:rsidRPr="6C682B2B" w:rsidR="0C2A2072">
              <w:rPr>
                <w:rFonts w:eastAsia="Arial Narrow" w:cs="Arial"/>
                <w:sz w:val="22"/>
                <w:szCs w:val="22"/>
                <w:lang w:val="es-MX"/>
              </w:rPr>
              <w:t xml:space="preserve"> transitorio</w:t>
            </w:r>
            <w:r w:rsidRPr="6C682B2B" w:rsidR="3FC718E7">
              <w:rPr>
                <w:rFonts w:eastAsia="Arial Narrow" w:cs="Arial"/>
                <w:sz w:val="22"/>
                <w:szCs w:val="22"/>
                <w:lang w:val="es-MX"/>
              </w:rPr>
              <w:t xml:space="preserve"> 2</w:t>
            </w:r>
            <w:r w:rsidRPr="6C682B2B" w:rsidR="0DA7D947">
              <w:rPr>
                <w:rFonts w:eastAsia="Arial Narrow" w:cs="Arial"/>
                <w:sz w:val="22"/>
                <w:szCs w:val="22"/>
                <w:lang w:val="es-MX"/>
              </w:rPr>
              <w:t>;</w:t>
            </w:r>
            <w:r w:rsidRPr="6C682B2B" w:rsidR="361505BF">
              <w:rPr>
                <w:rFonts w:eastAsia="Arial Narrow" w:cs="Arial"/>
                <w:sz w:val="22"/>
                <w:szCs w:val="22"/>
                <w:lang w:val="es-MX"/>
              </w:rPr>
              <w:t xml:space="preserve"> </w:t>
            </w:r>
            <w:r w:rsidRPr="6C682B2B" w:rsidR="484CB744">
              <w:rPr>
                <w:rFonts w:eastAsia="Arial Narrow" w:cs="Arial"/>
                <w:sz w:val="22"/>
                <w:szCs w:val="22"/>
                <w:lang w:val="es-MX"/>
              </w:rPr>
              <w:t xml:space="preserve">y </w:t>
            </w:r>
            <w:r w:rsidRPr="6C682B2B" w:rsidR="484CB744">
              <w:rPr>
                <w:rFonts w:eastAsia="Arial Narrow" w:cs="Arial"/>
                <w:b w:val="1"/>
                <w:bCs w:val="1"/>
                <w:sz w:val="22"/>
                <w:szCs w:val="22"/>
                <w:lang w:val="es-MX"/>
              </w:rPr>
              <w:t>2</w:t>
            </w:r>
            <w:r w:rsidRPr="6C682B2B" w:rsidR="11BD39CC">
              <w:rPr>
                <w:rFonts w:eastAsia="Arial Narrow" w:cs="Arial"/>
                <w:b w:val="0"/>
                <w:bCs w:val="0"/>
                <w:sz w:val="22"/>
                <w:szCs w:val="22"/>
                <w:lang w:val="es-MX"/>
              </w:rPr>
              <w:t xml:space="preserve"> buscan acogerse al Parágrafo </w:t>
            </w:r>
            <w:r w:rsidRPr="6C682B2B" w:rsidR="7D220B2D">
              <w:rPr>
                <w:rFonts w:eastAsia="Arial Narrow" w:cs="Arial"/>
                <w:b w:val="0"/>
                <w:bCs w:val="0"/>
                <w:sz w:val="22"/>
                <w:szCs w:val="22"/>
                <w:lang w:val="es-MX"/>
              </w:rPr>
              <w:t xml:space="preserve">transitorio </w:t>
            </w:r>
            <w:r w:rsidRPr="6C682B2B" w:rsidR="11BD39CC">
              <w:rPr>
                <w:rFonts w:eastAsia="Arial Narrow" w:cs="Arial"/>
                <w:b w:val="0"/>
                <w:bCs w:val="0"/>
                <w:sz w:val="22"/>
                <w:szCs w:val="22"/>
                <w:lang w:val="es-MX"/>
              </w:rPr>
              <w:t>3</w:t>
            </w:r>
            <w:r w:rsidRPr="6C682B2B" w:rsidR="4B21D671">
              <w:rPr>
                <w:rFonts w:eastAsia="Arial Narrow" w:cs="Arial"/>
                <w:b w:val="0"/>
                <w:bCs w:val="0"/>
                <w:sz w:val="22"/>
                <w:szCs w:val="22"/>
                <w:lang w:val="es-MX"/>
              </w:rPr>
              <w:t xml:space="preserve"> del artículo 36 de la Ley 1341 de 2009</w:t>
            </w:r>
            <w:r w:rsidRPr="6C682B2B" w:rsidR="6CF7788D">
              <w:rPr>
                <w:rFonts w:eastAsia="Arial Narrow" w:cs="Arial"/>
                <w:b w:val="0"/>
                <w:bCs w:val="0"/>
                <w:sz w:val="22"/>
                <w:szCs w:val="22"/>
                <w:lang w:val="es-MX"/>
              </w:rPr>
              <w:t>.</w:t>
            </w:r>
          </w:p>
          <w:p w:rsidRPr="00C2408F" w:rsidR="3FC718E7" w:rsidP="009E24BA" w:rsidRDefault="3FC718E7" w14:paraId="45223B3B" w14:textId="15027C5C">
            <w:pPr>
              <w:pStyle w:val="Prrafodelista"/>
              <w:numPr>
                <w:ilvl w:val="0"/>
                <w:numId w:val="1"/>
              </w:numPr>
              <w:ind w:left="1080"/>
              <w:jc w:val="both"/>
              <w:rPr>
                <w:rFonts w:eastAsia="Arial Narrow" w:cs="Arial"/>
                <w:b/>
                <w:sz w:val="22"/>
                <w:szCs w:val="22"/>
                <w:lang w:val="es-CO"/>
              </w:rPr>
            </w:pPr>
            <w:r w:rsidRPr="00C2408F">
              <w:rPr>
                <w:rFonts w:eastAsia="Arial Narrow" w:cs="Arial"/>
                <w:b/>
                <w:sz w:val="22"/>
                <w:szCs w:val="22"/>
                <w:lang w:val="es-CO"/>
              </w:rPr>
              <w:t xml:space="preserve">Terminaciones por incumplimiento a la ejecución de los planes de inversión </w:t>
            </w:r>
          </w:p>
          <w:p w:rsidRPr="00C2408F" w:rsidR="00C462CE" w:rsidP="00C462CE" w:rsidRDefault="00C462CE" w14:paraId="72ED8B8D" w14:textId="77777777">
            <w:pPr>
              <w:pStyle w:val="Prrafodelista"/>
              <w:ind w:left="1080"/>
              <w:jc w:val="both"/>
              <w:rPr>
                <w:rFonts w:eastAsia="Arial Narrow" w:cs="Arial"/>
                <w:b/>
                <w:bCs/>
                <w:sz w:val="22"/>
                <w:szCs w:val="22"/>
                <w:lang w:val="es-CO"/>
              </w:rPr>
            </w:pPr>
          </w:p>
          <w:p w:rsidRPr="009F7CED" w:rsidR="00795C6B" w:rsidP="00C462CE" w:rsidRDefault="2003DBC2" w14:paraId="74720DE6" w14:textId="59A28F78">
            <w:pPr>
              <w:spacing w:after="160"/>
              <w:jc w:val="both"/>
              <w:rPr>
                <w:rFonts w:cs="Arial"/>
                <w:sz w:val="22"/>
                <w:szCs w:val="22"/>
                <w:lang w:val="es-CO" w:eastAsia="es-CO"/>
              </w:rPr>
            </w:pPr>
            <w:r w:rsidRPr="62885058">
              <w:rPr>
                <w:rFonts w:cs="Arial"/>
                <w:sz w:val="22"/>
                <w:szCs w:val="22"/>
                <w:lang w:val="es-CO" w:eastAsia="es-CO"/>
              </w:rPr>
              <w:t>A la fecha no se ha decretado la terminación por incumplimiento en la ejecución de los planes de inversión.</w:t>
            </w:r>
          </w:p>
        </w:tc>
      </w:tr>
      <w:tr w:rsidRPr="00C2408F" w:rsidR="00DF60FD" w:rsidTr="5173853D" w14:paraId="6EEDB6EA" w14:textId="77777777">
        <w:trPr>
          <w:trHeight w:val="300"/>
        </w:trPr>
        <w:tc>
          <w:tcPr>
            <w:tcW w:w="10440"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455B68" w:rsidR="00843EFF" w:rsidP="00455B68" w:rsidRDefault="69A814DA" w14:paraId="6A8E3E2B" w14:textId="77777777">
            <w:pPr>
              <w:numPr>
                <w:ilvl w:val="0"/>
                <w:numId w:val="4"/>
              </w:numPr>
              <w:rPr>
                <w:rFonts w:cs="Arial"/>
                <w:sz w:val="22"/>
                <w:szCs w:val="22"/>
                <w:lang w:val="es-CO"/>
              </w:rPr>
            </w:pPr>
            <w:r w:rsidRPr="00C2408F">
              <w:rPr>
                <w:rFonts w:cs="Arial"/>
                <w:b/>
                <w:bCs/>
                <w:color w:val="000000" w:themeColor="text1"/>
                <w:sz w:val="22"/>
                <w:szCs w:val="22"/>
              </w:rPr>
              <w:t xml:space="preserve">IMPACTO ECONÓMICO </w:t>
            </w:r>
          </w:p>
          <w:p w:rsidRPr="00455B68" w:rsidR="00455B68" w:rsidP="00455B68" w:rsidRDefault="00455B68" w14:paraId="445C14B8" w14:textId="77777777">
            <w:pPr>
              <w:ind w:left="720"/>
              <w:rPr>
                <w:rFonts w:cs="Arial"/>
                <w:sz w:val="22"/>
                <w:szCs w:val="22"/>
                <w:lang w:val="es-CO"/>
              </w:rPr>
            </w:pPr>
          </w:p>
          <w:p w:rsidRPr="00795C6B" w:rsidR="00843EFF" w:rsidP="00455B68" w:rsidRDefault="00455B68" w14:paraId="733FBAC9" w14:textId="3542F3F1">
            <w:pPr>
              <w:rPr>
                <w:rFonts w:cs="Arial"/>
                <w:sz w:val="22"/>
                <w:szCs w:val="22"/>
                <w:lang w:val="es-CO"/>
              </w:rPr>
            </w:pPr>
            <w:r w:rsidRPr="00455B68">
              <w:rPr>
                <w:rFonts w:cs="Arial"/>
                <w:sz w:val="22"/>
                <w:szCs w:val="22"/>
              </w:rPr>
              <w:t>El proyecto normativo no genera impacto económico </w:t>
            </w:r>
          </w:p>
        </w:tc>
      </w:tr>
      <w:tr w:rsidRPr="00C2408F" w:rsidR="00DF60FD" w:rsidTr="5173853D" w14:paraId="5561A09B" w14:textId="77777777">
        <w:trPr>
          <w:trHeight w:val="300"/>
        </w:trPr>
        <w:tc>
          <w:tcPr>
            <w:tcW w:w="10440"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A034EB" w:rsidR="006B76F1" w:rsidRDefault="00795C6B" w14:paraId="39E74D12" w14:textId="5180B285">
            <w:pPr>
              <w:numPr>
                <w:ilvl w:val="0"/>
                <w:numId w:val="4"/>
              </w:numPr>
              <w:rPr>
                <w:rFonts w:cs="Arial"/>
                <w:b/>
                <w:color w:val="000000"/>
                <w:sz w:val="22"/>
                <w:szCs w:val="22"/>
              </w:rPr>
            </w:pPr>
            <w:r w:rsidRPr="00A034EB">
              <w:rPr>
                <w:rFonts w:cs="Arial"/>
                <w:b/>
                <w:color w:val="000000"/>
                <w:sz w:val="22"/>
                <w:szCs w:val="22"/>
              </w:rPr>
              <w:t xml:space="preserve">VIABILIDAD O </w:t>
            </w:r>
            <w:r w:rsidRPr="00A034EB" w:rsidR="00DF60FD">
              <w:rPr>
                <w:rFonts w:cs="Arial"/>
                <w:b/>
                <w:color w:val="000000"/>
                <w:sz w:val="22"/>
                <w:szCs w:val="22"/>
              </w:rPr>
              <w:t xml:space="preserve">DISPONIBILIDAD PRESUPUESTAL </w:t>
            </w:r>
          </w:p>
          <w:p w:rsidRPr="00A034EB" w:rsidR="00A034EB" w:rsidP="00A034EB" w:rsidRDefault="00A034EB" w14:paraId="725B00C6" w14:textId="77777777">
            <w:pPr>
              <w:ind w:left="720"/>
              <w:rPr>
                <w:rFonts w:cs="Arial"/>
                <w:b/>
                <w:color w:val="000000"/>
                <w:sz w:val="22"/>
                <w:szCs w:val="22"/>
              </w:rPr>
            </w:pPr>
          </w:p>
          <w:p w:rsidRPr="00C2408F" w:rsidR="00F77DB8" w:rsidP="00A034EB" w:rsidRDefault="006B76F1" w14:paraId="139BA6FB" w14:textId="32B2BBAD">
            <w:pPr>
              <w:jc w:val="both"/>
              <w:rPr>
                <w:rFonts w:cs="Arial"/>
                <w:sz w:val="22"/>
                <w:szCs w:val="22"/>
                <w:lang w:eastAsia="es-CO"/>
              </w:rPr>
            </w:pPr>
            <w:r w:rsidRPr="00A034EB">
              <w:rPr>
                <w:rFonts w:cs="Arial"/>
                <w:bCs/>
                <w:color w:val="000000"/>
                <w:sz w:val="22"/>
                <w:szCs w:val="22"/>
              </w:rPr>
              <w:t>El proyecto normativo no requiere viabilidad o disponibilidad presupuestal.</w:t>
            </w:r>
            <w:r w:rsidRPr="006B76F1">
              <w:rPr>
                <w:rFonts w:cs="Arial"/>
                <w:i/>
                <w:iCs/>
                <w:color w:val="808080" w:themeColor="background1" w:themeShade="80"/>
                <w:sz w:val="18"/>
                <w:szCs w:val="18"/>
                <w:lang w:eastAsia="es-CO"/>
              </w:rPr>
              <w:t> </w:t>
            </w:r>
          </w:p>
        </w:tc>
      </w:tr>
      <w:tr w:rsidRPr="00C2408F" w:rsidR="00DF60FD" w:rsidTr="5173853D" w14:paraId="3380BF08" w14:textId="77777777">
        <w:trPr>
          <w:trHeight w:val="300"/>
        </w:trPr>
        <w:tc>
          <w:tcPr>
            <w:tcW w:w="10440" w:type="dxa"/>
            <w:gridSpan w:val="3"/>
            <w:tcBorders>
              <w:top w:val="single" w:color="auto" w:sz="4" w:space="0"/>
              <w:bottom w:val="single" w:color="auto" w:sz="4" w:space="0"/>
            </w:tcBorders>
            <w:shd w:val="clear" w:color="auto" w:fill="FFFFFF" w:themeFill="background1"/>
            <w:tcMar/>
            <w:vAlign w:val="center"/>
          </w:tcPr>
          <w:p w:rsidRPr="009F7CED" w:rsidR="00DF60FD" w:rsidP="009E24BA" w:rsidRDefault="69A814DA" w14:paraId="1D5B47B5" w14:textId="706507F8">
            <w:pPr>
              <w:numPr>
                <w:ilvl w:val="0"/>
                <w:numId w:val="4"/>
              </w:numPr>
              <w:jc w:val="both"/>
              <w:rPr>
                <w:rFonts w:cs="Arial"/>
                <w:b/>
                <w:color w:val="000000"/>
                <w:sz w:val="22"/>
                <w:szCs w:val="22"/>
              </w:rPr>
            </w:pPr>
            <w:r w:rsidRPr="7B27D6E0">
              <w:rPr>
                <w:rFonts w:cs="Arial"/>
                <w:b/>
                <w:bCs/>
                <w:color w:val="000000" w:themeColor="text1"/>
                <w:sz w:val="22"/>
                <w:szCs w:val="22"/>
              </w:rPr>
              <w:t xml:space="preserve"> IMPACTO MEDIOAMBIENTAL O SOBRE EL PATRIMONIO CULTURAL DE LA NACIÓN </w:t>
            </w:r>
          </w:p>
          <w:p w:rsidRPr="00C2408F" w:rsidR="26DA1B01" w:rsidP="7B27D6E0" w:rsidRDefault="26DA1B01" w14:paraId="446221D5" w14:textId="3AC38554">
            <w:pPr>
              <w:spacing w:line="259" w:lineRule="auto"/>
              <w:ind w:left="778"/>
              <w:jc w:val="both"/>
              <w:rPr>
                <w:rFonts w:cs="Arial"/>
              </w:rPr>
            </w:pPr>
          </w:p>
          <w:p w:rsidRPr="00747B24" w:rsidR="00696582" w:rsidP="00FA4A9E" w:rsidRDefault="00A034EB" w14:paraId="49D2B544" w14:textId="43F83E91">
            <w:pPr>
              <w:jc w:val="both"/>
              <w:rPr>
                <w:rFonts w:cs="Arial"/>
                <w:color w:val="000000"/>
                <w:sz w:val="22"/>
                <w:szCs w:val="22"/>
              </w:rPr>
            </w:pPr>
            <w:r w:rsidRPr="00A034EB">
              <w:rPr>
                <w:rFonts w:cs="Arial"/>
                <w:bCs/>
                <w:color w:val="000000"/>
                <w:sz w:val="22"/>
                <w:szCs w:val="22"/>
              </w:rPr>
              <w:t>El proyecto normativo bajo análisis no tendrá impacto sobre el medio ambiente, como tampoco sobre el patrimonio cultural de la Nación. </w:t>
            </w:r>
          </w:p>
        </w:tc>
      </w:tr>
      <w:tr w:rsidRPr="00C2408F" w:rsidR="00DF60FD" w:rsidTr="5173853D" w14:paraId="7FFFE844" w14:textId="77777777">
        <w:trPr>
          <w:trHeight w:val="300"/>
        </w:trPr>
        <w:tc>
          <w:tcPr>
            <w:tcW w:w="10440" w:type="dxa"/>
            <w:gridSpan w:val="3"/>
            <w:tcBorders>
              <w:top w:val="single" w:color="auto" w:sz="4" w:space="0"/>
              <w:bottom w:val="single" w:color="auto" w:sz="4" w:space="0"/>
            </w:tcBorders>
            <w:shd w:val="clear" w:color="auto" w:fill="FFFFFF" w:themeFill="background1"/>
            <w:tcMar/>
            <w:vAlign w:val="center"/>
          </w:tcPr>
          <w:p w:rsidRPr="009F7CED" w:rsidR="00D05B67" w:rsidP="009E24BA" w:rsidRDefault="00D05B67" w14:paraId="6D2D5AC3" w14:textId="2C3A153A">
            <w:pPr>
              <w:numPr>
                <w:ilvl w:val="0"/>
                <w:numId w:val="4"/>
              </w:numPr>
              <w:jc w:val="both"/>
              <w:rPr>
                <w:rFonts w:cs="Arial"/>
                <w:sz w:val="22"/>
                <w:szCs w:val="22"/>
              </w:rPr>
            </w:pPr>
            <w:r w:rsidRPr="00D05B67">
              <w:rPr>
                <w:rFonts w:cs="Arial"/>
                <w:b/>
                <w:sz w:val="22"/>
                <w:szCs w:val="22"/>
              </w:rPr>
              <w:t>ESTUDIOS TÉCNICOS QUE SUSTENTEN EL PROYECTO NORMATIVO</w:t>
            </w:r>
            <w:r>
              <w:rPr>
                <w:rFonts w:cs="Arial"/>
                <w:sz w:val="22"/>
                <w:szCs w:val="22"/>
              </w:rPr>
              <w:t xml:space="preserve"> </w:t>
            </w:r>
          </w:p>
        </w:tc>
      </w:tr>
      <w:tr w:rsidRPr="00C2408F" w:rsidR="00DF60FD" w:rsidTr="5173853D" w14:paraId="6A58A95F" w14:textId="77777777">
        <w:trPr>
          <w:trHeight w:val="300"/>
        </w:trPr>
        <w:tc>
          <w:tcPr>
            <w:tcW w:w="10440" w:type="dxa"/>
            <w:gridSpan w:val="3"/>
            <w:tcBorders>
              <w:top w:val="single" w:color="auto" w:sz="4" w:space="0"/>
              <w:bottom w:val="single" w:color="auto" w:sz="4" w:space="0"/>
            </w:tcBorders>
            <w:shd w:val="clear" w:color="auto" w:fill="FFFFFF" w:themeFill="background1"/>
            <w:tcMar/>
            <w:vAlign w:val="center"/>
          </w:tcPr>
          <w:p w:rsidR="00747B24" w:rsidP="63CC942D" w:rsidRDefault="33597497" w14:paraId="67502CB5" w14:textId="77777777">
            <w:pPr>
              <w:jc w:val="both"/>
              <w:rPr>
                <w:rFonts w:cs="Arial"/>
                <w:color w:val="000000" w:themeColor="text1"/>
                <w:sz w:val="22"/>
                <w:szCs w:val="22"/>
                <w:lang w:val="es-MX"/>
              </w:rPr>
            </w:pPr>
            <w:r w:rsidRPr="63CC942D">
              <w:rPr>
                <w:rFonts w:cs="Arial"/>
                <w:color w:val="000000" w:themeColor="text1"/>
                <w:sz w:val="22"/>
                <w:szCs w:val="22"/>
              </w:rPr>
              <w:t>Se cuenta con un concepto técnico-jurídico por parte del equipo asesor externo del Ministeri</w:t>
            </w:r>
            <w:r w:rsidRPr="63CC942D" w:rsidR="1F233BCE">
              <w:rPr>
                <w:rFonts w:cs="Arial"/>
                <w:color w:val="000000" w:themeColor="text1"/>
                <w:sz w:val="22"/>
                <w:szCs w:val="22"/>
              </w:rPr>
              <w:t xml:space="preserve">o de Tecnología de la Información y las Comunicaciones, </w:t>
            </w:r>
            <w:r w:rsidRPr="63CC942D" w:rsidR="16986BE6">
              <w:rPr>
                <w:rFonts w:cs="Arial"/>
                <w:color w:val="000000" w:themeColor="text1"/>
                <w:sz w:val="22"/>
                <w:szCs w:val="22"/>
                <w:lang w:val="es-MX"/>
              </w:rPr>
              <w:t xml:space="preserve">en el que se determinó la viabilidad normativa, operativa y jurídica de exigir la constitución de garantías vinculadas a los planes de inversión aprobados en el marco de la excepción al pago de la contraprestación periódica, prevista en los parágrafos transitorios del artículo 36 de la Ley 1341 de 2009. </w:t>
            </w:r>
          </w:p>
          <w:p w:rsidR="00747B24" w:rsidP="63CC942D" w:rsidRDefault="00747B24" w14:paraId="0EEA41E5" w14:textId="77777777">
            <w:pPr>
              <w:jc w:val="both"/>
              <w:rPr>
                <w:rFonts w:cs="Arial"/>
                <w:color w:val="000000" w:themeColor="text1"/>
                <w:sz w:val="22"/>
                <w:szCs w:val="22"/>
                <w:lang w:val="es-MX"/>
              </w:rPr>
            </w:pPr>
          </w:p>
          <w:p w:rsidRPr="00BF67E9" w:rsidR="00843EFF" w:rsidP="00BF67E9" w:rsidRDefault="16986BE6" w14:paraId="177E7B9B" w14:textId="7B371590">
            <w:pPr>
              <w:jc w:val="both"/>
              <w:rPr>
                <w:rFonts w:eastAsia="Arial" w:cs="Arial"/>
                <w:sz w:val="22"/>
                <w:szCs w:val="22"/>
              </w:rPr>
            </w:pPr>
            <w:r w:rsidRPr="63CC942D">
              <w:rPr>
                <w:rFonts w:cs="Arial"/>
                <w:color w:val="000000" w:themeColor="text1"/>
                <w:sz w:val="22"/>
                <w:szCs w:val="22"/>
                <w:lang w:val="es-MX"/>
              </w:rPr>
              <w:t>Este concepto resulta fundamental como insumo técnico-jurídico, el cual incorpora expresamente dicha exigencia como mecanismo de mitigación de riesgos frente al eventual incumplimiento de los compromisos adquiridos por los Proveedores de Redes y Servicios de Telecomunicaciones (PRST).</w:t>
            </w:r>
          </w:p>
        </w:tc>
      </w:tr>
      <w:tr w:rsidRPr="00C2408F" w:rsidR="00DF60FD" w:rsidTr="5173853D" w14:paraId="05769870" w14:textId="77777777">
        <w:trPr>
          <w:trHeight w:val="300"/>
        </w:trPr>
        <w:tc>
          <w:tcPr>
            <w:tcW w:w="10440" w:type="dxa"/>
            <w:gridSpan w:val="3"/>
            <w:tcBorders>
              <w:top w:val="single" w:color="auto" w:sz="4" w:space="0"/>
              <w:bottom w:val="single" w:color="auto" w:sz="4" w:space="0"/>
            </w:tcBorders>
            <w:shd w:val="clear" w:color="auto" w:fill="D9D9D9" w:themeFill="background1" w:themeFillShade="D9"/>
            <w:tcMar/>
            <w:vAlign w:val="center"/>
          </w:tcPr>
          <w:p w:rsidRPr="00AF569A" w:rsidR="00F55DC4" w:rsidP="00696582" w:rsidRDefault="00DF60FD" w14:paraId="6D984406" w14:textId="77777777">
            <w:pPr>
              <w:jc w:val="center"/>
              <w:rPr>
                <w:rFonts w:cs="Arial"/>
                <w:sz w:val="22"/>
                <w:szCs w:val="22"/>
              </w:rPr>
            </w:pPr>
            <w:r w:rsidRPr="00AF569A">
              <w:rPr>
                <w:rFonts w:cs="Arial"/>
                <w:b/>
                <w:sz w:val="22"/>
                <w:szCs w:val="22"/>
              </w:rPr>
              <w:t>ANEXOS</w:t>
            </w:r>
            <w:r w:rsidRPr="00AF569A" w:rsidR="00D05B67">
              <w:rPr>
                <w:rFonts w:cs="Arial"/>
                <w:b/>
                <w:sz w:val="22"/>
                <w:szCs w:val="22"/>
              </w:rPr>
              <w:t>:</w:t>
            </w:r>
            <w:r w:rsidRPr="00AF569A" w:rsidR="00696582">
              <w:rPr>
                <w:rFonts w:cs="Arial"/>
                <w:sz w:val="22"/>
                <w:szCs w:val="22"/>
              </w:rPr>
              <w:t xml:space="preserve"> </w:t>
            </w:r>
          </w:p>
        </w:tc>
      </w:tr>
      <w:tr w:rsidRPr="00C2408F" w:rsidR="00D05B67" w:rsidTr="5173853D" w14:paraId="527C3750"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D05B67" w:rsidP="00D05B67" w:rsidRDefault="00D05B67" w14:paraId="31C2B6B6" w14:textId="77777777">
            <w:pPr>
              <w:jc w:val="both"/>
              <w:rPr>
                <w:rFonts w:cs="Arial"/>
                <w:sz w:val="22"/>
                <w:szCs w:val="22"/>
              </w:rPr>
            </w:pPr>
            <w:r>
              <w:rPr>
                <w:rFonts w:cs="Arial"/>
                <w:sz w:val="22"/>
                <w:szCs w:val="22"/>
              </w:rPr>
              <w:t xml:space="preserve">Certificación de cumplimiento de requisitos de consulta, publicidad y de incorporación en la agenda regulatoria </w:t>
            </w:r>
          </w:p>
          <w:p w:rsidRPr="00084B49" w:rsidR="00D05B67" w:rsidP="00D05B67" w:rsidRDefault="00D05B67" w14:paraId="15E83C89" w14:textId="77777777">
            <w:pPr>
              <w:jc w:val="both"/>
              <w:rPr>
                <w:rFonts w:cs="Arial"/>
                <w:i/>
                <w:color w:val="808080"/>
                <w:sz w:val="22"/>
                <w:szCs w:val="22"/>
              </w:rPr>
            </w:pPr>
            <w:r w:rsidRPr="00084B49">
              <w:rPr>
                <w:rFonts w:cs="Arial"/>
                <w:i/>
                <w:color w:val="808080"/>
                <w:szCs w:val="22"/>
              </w:rPr>
              <w:t>(Firmada por el servidor público competente –entidad originadora)</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Pr="00C2408F" w:rsidR="00D05B67" w:rsidP="00673105" w:rsidRDefault="1AF15CBE" w14:paraId="09671423" w14:textId="6BE55EDD">
            <w:pPr>
              <w:spacing w:line="259" w:lineRule="auto"/>
              <w:jc w:val="center"/>
              <w:rPr>
                <w:rFonts w:cs="Arial"/>
              </w:rPr>
            </w:pPr>
            <w:r w:rsidRPr="7B27D6E0">
              <w:rPr>
                <w:rFonts w:cs="Arial"/>
                <w:i/>
                <w:iCs/>
                <w:color w:val="808080" w:themeColor="background1" w:themeShade="80"/>
                <w:sz w:val="22"/>
                <w:szCs w:val="22"/>
              </w:rPr>
              <w:t>X</w:t>
            </w:r>
          </w:p>
        </w:tc>
      </w:tr>
      <w:tr w:rsidRPr="00C2408F" w:rsidR="00D05B67" w:rsidTr="5173853D" w14:paraId="4B96F93D"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D05B67" w:rsidP="00D05B67" w:rsidRDefault="00D05B67" w14:paraId="0262E589" w14:textId="77777777">
            <w:pPr>
              <w:jc w:val="both"/>
              <w:rPr>
                <w:rFonts w:cs="Arial"/>
                <w:sz w:val="22"/>
                <w:szCs w:val="22"/>
              </w:rPr>
            </w:pPr>
            <w:r>
              <w:rPr>
                <w:rFonts w:cs="Arial"/>
                <w:sz w:val="22"/>
                <w:szCs w:val="22"/>
              </w:rPr>
              <w:t>Concepto</w:t>
            </w:r>
            <w:r w:rsidR="005F30C3">
              <w:rPr>
                <w:rFonts w:cs="Arial"/>
                <w:sz w:val="22"/>
                <w:szCs w:val="22"/>
              </w:rPr>
              <w:t>(s)</w:t>
            </w:r>
            <w:r>
              <w:rPr>
                <w:rFonts w:cs="Arial"/>
                <w:sz w:val="22"/>
                <w:szCs w:val="22"/>
              </w:rPr>
              <w:t xml:space="preserve"> de Min</w:t>
            </w:r>
            <w:r w:rsidR="005F30C3">
              <w:rPr>
                <w:rFonts w:cs="Arial"/>
                <w:sz w:val="22"/>
                <w:szCs w:val="22"/>
              </w:rPr>
              <w:t>isterio de</w:t>
            </w:r>
            <w:r>
              <w:rPr>
                <w:rFonts w:cs="Arial"/>
                <w:sz w:val="22"/>
                <w:szCs w:val="22"/>
              </w:rPr>
              <w:t xml:space="preserve"> Comercio</w:t>
            </w:r>
            <w:r w:rsidR="005F30C3">
              <w:rPr>
                <w:rFonts w:cs="Arial"/>
                <w:sz w:val="22"/>
                <w:szCs w:val="22"/>
              </w:rPr>
              <w:t>, Industria y Turismo</w:t>
            </w:r>
          </w:p>
          <w:p w:rsidRPr="00084B49" w:rsidR="00D05B67" w:rsidP="00D05B67" w:rsidRDefault="005F30C3" w14:paraId="270C7AB5" w14:textId="77777777">
            <w:pPr>
              <w:jc w:val="both"/>
              <w:rPr>
                <w:rFonts w:cs="Arial"/>
                <w:i/>
                <w:color w:val="808080"/>
                <w:sz w:val="22"/>
                <w:szCs w:val="22"/>
              </w:rPr>
            </w:pPr>
            <w:r w:rsidRPr="00084B49">
              <w:rPr>
                <w:rFonts w:cs="Arial"/>
                <w:i/>
                <w:color w:val="808080"/>
                <w:szCs w:val="22"/>
              </w:rPr>
              <w:t>(Cuando se trate de un proyecto de reglamento técnico o de procedimientos de evaluación de conformidad)</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Pr="00C2408F" w:rsidR="00D05B67" w:rsidP="00673105" w:rsidRDefault="21265A59" w14:paraId="24CC459A" w14:textId="7503C2BB">
            <w:pPr>
              <w:spacing w:line="259" w:lineRule="auto"/>
              <w:jc w:val="center"/>
              <w:rPr>
                <w:rFonts w:cs="Arial"/>
              </w:rPr>
            </w:pPr>
            <w:r w:rsidRPr="7B27D6E0">
              <w:rPr>
                <w:rFonts w:cs="Arial"/>
                <w:i/>
                <w:iCs/>
                <w:color w:val="808080" w:themeColor="background1" w:themeShade="80"/>
                <w:sz w:val="22"/>
                <w:szCs w:val="22"/>
              </w:rPr>
              <w:t>N/A</w:t>
            </w:r>
          </w:p>
        </w:tc>
      </w:tr>
      <w:tr w:rsidRPr="00C2408F" w:rsidR="005F30C3" w:rsidTr="5173853D" w14:paraId="4241CE5C"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5F30C3" w:rsidP="00D05B67" w:rsidRDefault="005F30C3" w14:paraId="79E48042" w14:textId="77777777">
            <w:pPr>
              <w:jc w:val="both"/>
              <w:rPr>
                <w:rFonts w:cs="Arial"/>
                <w:sz w:val="22"/>
                <w:szCs w:val="22"/>
              </w:rPr>
            </w:pPr>
            <w:r>
              <w:rPr>
                <w:rFonts w:cs="Arial"/>
                <w:sz w:val="22"/>
                <w:szCs w:val="22"/>
              </w:rPr>
              <w:t xml:space="preserve">Informe de observaciones y respuestas </w:t>
            </w:r>
          </w:p>
          <w:p w:rsidRPr="00084B49" w:rsidR="005F30C3" w:rsidP="00D05B67" w:rsidRDefault="005F30C3" w14:paraId="4E1961C8" w14:textId="77777777">
            <w:pPr>
              <w:jc w:val="both"/>
              <w:rPr>
                <w:rFonts w:cs="Arial"/>
                <w:i/>
                <w:color w:val="808080"/>
                <w:sz w:val="22"/>
                <w:szCs w:val="22"/>
              </w:rPr>
            </w:pPr>
            <w:r w:rsidRPr="00084B49">
              <w:rPr>
                <w:rFonts w:cs="Arial"/>
                <w:i/>
                <w:color w:val="808080"/>
                <w:szCs w:val="22"/>
              </w:rPr>
              <w:t>(Análisis del informe con la evaluación de las observaciones de los ciudadanos y grupos de interés sobre el proyecto normativo)</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Pr="00C2408F" w:rsidR="005F30C3" w:rsidP="00673105" w:rsidRDefault="615E8B74" w14:paraId="3EC90E99" w14:textId="4B8F3724">
            <w:pPr>
              <w:spacing w:line="259" w:lineRule="auto"/>
              <w:jc w:val="center"/>
              <w:rPr>
                <w:rFonts w:cs="Arial"/>
              </w:rPr>
            </w:pPr>
            <w:r w:rsidRPr="7B27D6E0">
              <w:rPr>
                <w:rFonts w:cs="Arial"/>
                <w:i/>
                <w:iCs/>
                <w:color w:val="808080" w:themeColor="background1" w:themeShade="80"/>
                <w:sz w:val="22"/>
                <w:szCs w:val="22"/>
              </w:rPr>
              <w:t>X</w:t>
            </w:r>
          </w:p>
        </w:tc>
      </w:tr>
      <w:tr w:rsidRPr="00C2408F" w:rsidR="005F30C3" w:rsidTr="5173853D" w14:paraId="07676EB5"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5F30C3" w:rsidP="00D05B67" w:rsidRDefault="005F30C3" w14:paraId="719683E6" w14:textId="77777777">
            <w:pPr>
              <w:jc w:val="both"/>
              <w:rPr>
                <w:rFonts w:cs="Arial"/>
                <w:sz w:val="22"/>
                <w:szCs w:val="22"/>
              </w:rPr>
            </w:pPr>
            <w:r>
              <w:rPr>
                <w:rFonts w:cs="Arial"/>
                <w:sz w:val="22"/>
                <w:szCs w:val="22"/>
              </w:rPr>
              <w:t>Concepto de Abogacía de la Competencia de la Superintendencia de Industria y Comercio</w:t>
            </w:r>
          </w:p>
          <w:p w:rsidRPr="00084B49" w:rsidR="005F30C3" w:rsidP="00D05B67" w:rsidRDefault="005F30C3" w14:paraId="364EFEA6" w14:textId="77777777">
            <w:pPr>
              <w:jc w:val="both"/>
              <w:rPr>
                <w:rFonts w:cs="Arial"/>
                <w:i/>
                <w:color w:val="808080"/>
                <w:sz w:val="22"/>
                <w:szCs w:val="22"/>
              </w:rPr>
            </w:pPr>
            <w:r w:rsidRPr="00084B49">
              <w:rPr>
                <w:rFonts w:cs="Arial"/>
                <w:i/>
                <w:color w:val="808080"/>
                <w:szCs w:val="22"/>
              </w:rPr>
              <w:t>(Cuando los proyectos normativos tengan incidencia en la libre competencia de los mercados)</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005F30C3" w:rsidP="00673105" w:rsidRDefault="0E021276" w14:paraId="0F8BF5F5" w14:textId="6FB43C73">
            <w:pPr>
              <w:jc w:val="center"/>
              <w:rPr>
                <w:rFonts w:cs="Arial"/>
                <w:i/>
                <w:iCs/>
                <w:color w:val="808080" w:themeColor="background1" w:themeShade="80"/>
                <w:sz w:val="22"/>
                <w:szCs w:val="22"/>
              </w:rPr>
            </w:pPr>
            <w:r w:rsidRPr="7B27D6E0">
              <w:rPr>
                <w:rFonts w:cs="Arial"/>
                <w:i/>
                <w:iCs/>
                <w:color w:val="808080" w:themeColor="background1" w:themeShade="80"/>
                <w:sz w:val="22"/>
                <w:szCs w:val="22"/>
              </w:rPr>
              <w:t>N/A</w:t>
            </w:r>
          </w:p>
        </w:tc>
      </w:tr>
      <w:tr w:rsidRPr="00C2408F" w:rsidR="005F30C3" w:rsidTr="5173853D" w14:paraId="19E5B7FC"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5F30C3" w:rsidP="00D05B67" w:rsidRDefault="005F30C3" w14:paraId="260EB9CC" w14:textId="77777777">
            <w:pPr>
              <w:jc w:val="both"/>
              <w:rPr>
                <w:rFonts w:cs="Arial"/>
                <w:sz w:val="22"/>
                <w:szCs w:val="22"/>
              </w:rPr>
            </w:pPr>
            <w:r>
              <w:rPr>
                <w:rFonts w:cs="Arial"/>
                <w:sz w:val="22"/>
                <w:szCs w:val="22"/>
              </w:rPr>
              <w:t>Concepto de aprobación nuevos trámites del Departamento Administrativo de la Función Pública</w:t>
            </w:r>
          </w:p>
          <w:p w:rsidR="005F30C3" w:rsidP="00D05B67" w:rsidRDefault="005F30C3" w14:paraId="1DFA88C0" w14:textId="77777777">
            <w:pPr>
              <w:jc w:val="both"/>
              <w:rPr>
                <w:rFonts w:cs="Arial"/>
                <w:sz w:val="22"/>
                <w:szCs w:val="22"/>
              </w:rPr>
            </w:pPr>
            <w:r w:rsidRPr="00084B49">
              <w:rPr>
                <w:rFonts w:cs="Arial"/>
                <w:i/>
                <w:color w:val="808080"/>
                <w:szCs w:val="22"/>
              </w:rPr>
              <w:t>(Cuando el proyecto normativo adopte o modifique un trámite)</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005F30C3" w:rsidP="00673105" w:rsidRDefault="24D10B17" w14:paraId="2F5CE5B9" w14:textId="42AE3B96">
            <w:pPr>
              <w:jc w:val="center"/>
              <w:rPr>
                <w:rFonts w:cs="Arial"/>
                <w:i/>
                <w:iCs/>
                <w:color w:val="808080" w:themeColor="background1" w:themeShade="80"/>
                <w:sz w:val="22"/>
                <w:szCs w:val="22"/>
              </w:rPr>
            </w:pPr>
            <w:r w:rsidRPr="7B27D6E0">
              <w:rPr>
                <w:rFonts w:cs="Arial"/>
                <w:i/>
                <w:iCs/>
                <w:color w:val="808080" w:themeColor="background1" w:themeShade="80"/>
                <w:sz w:val="22"/>
                <w:szCs w:val="22"/>
              </w:rPr>
              <w:t>N/A</w:t>
            </w:r>
          </w:p>
        </w:tc>
      </w:tr>
      <w:tr w:rsidRPr="00C2408F" w:rsidR="005F30C3" w:rsidTr="5173853D" w14:paraId="3322BE2A" w14:textId="77777777">
        <w:trPr>
          <w:trHeight w:val="300"/>
        </w:trPr>
        <w:tc>
          <w:tcPr>
            <w:tcW w:w="6960" w:type="dxa"/>
            <w:gridSpan w:val="2"/>
            <w:tcBorders>
              <w:top w:val="single" w:color="auto" w:sz="4" w:space="0"/>
              <w:bottom w:val="single" w:color="auto" w:sz="4" w:space="0"/>
              <w:right w:val="single" w:color="auto" w:sz="4" w:space="0"/>
            </w:tcBorders>
            <w:shd w:val="clear" w:color="auto" w:fill="FFFFFF" w:themeFill="background1"/>
            <w:tcMar/>
            <w:vAlign w:val="center"/>
          </w:tcPr>
          <w:p w:rsidR="005F30C3" w:rsidP="00084B49" w:rsidRDefault="005F30C3" w14:paraId="1CD006DB" w14:textId="77777777">
            <w:pPr>
              <w:jc w:val="both"/>
              <w:rPr>
                <w:rFonts w:cs="Arial"/>
                <w:sz w:val="22"/>
                <w:szCs w:val="22"/>
              </w:rPr>
            </w:pPr>
            <w:r>
              <w:rPr>
                <w:rFonts w:cs="Arial"/>
                <w:sz w:val="22"/>
                <w:szCs w:val="22"/>
              </w:rPr>
              <w:t xml:space="preserve">Otro </w:t>
            </w:r>
          </w:p>
          <w:p w:rsidR="005F30C3" w:rsidP="00084B49" w:rsidRDefault="005F30C3" w14:paraId="73A3BDE5" w14:textId="77777777">
            <w:pPr>
              <w:jc w:val="both"/>
              <w:rPr>
                <w:rFonts w:cs="Arial"/>
                <w:sz w:val="22"/>
                <w:szCs w:val="22"/>
              </w:rPr>
            </w:pPr>
            <w:r w:rsidRPr="00084B49">
              <w:rPr>
                <w:rFonts w:cs="Arial"/>
                <w:i/>
                <w:color w:val="808080"/>
                <w:szCs w:val="22"/>
              </w:rPr>
              <w:t>(Cualquier otro aspecto que la entidad originadora de la norma considere relevante o de importancia)</w:t>
            </w:r>
          </w:p>
        </w:tc>
        <w:tc>
          <w:tcPr>
            <w:tcW w:w="3480" w:type="dxa"/>
            <w:tcBorders>
              <w:top w:val="single" w:color="auto" w:sz="4" w:space="0"/>
              <w:left w:val="single" w:color="auto" w:sz="4" w:space="0"/>
              <w:bottom w:val="single" w:color="auto" w:sz="4" w:space="0"/>
            </w:tcBorders>
            <w:shd w:val="clear" w:color="auto" w:fill="FFFFFF" w:themeFill="background1"/>
            <w:tcMar/>
            <w:vAlign w:val="center"/>
          </w:tcPr>
          <w:p w:rsidR="005F30C3" w:rsidP="00673105" w:rsidRDefault="4B1B9EB0" w14:paraId="6BB8FF30" w14:textId="5E939FAE">
            <w:pPr>
              <w:jc w:val="center"/>
              <w:rPr>
                <w:rFonts w:cs="Arial"/>
                <w:i/>
                <w:iCs/>
                <w:color w:val="808080" w:themeColor="background1" w:themeShade="80"/>
                <w:sz w:val="22"/>
                <w:szCs w:val="22"/>
              </w:rPr>
            </w:pPr>
            <w:r w:rsidRPr="7B27D6E0">
              <w:rPr>
                <w:rFonts w:cs="Arial"/>
                <w:i/>
                <w:iCs/>
                <w:color w:val="808080" w:themeColor="background1" w:themeShade="80"/>
                <w:sz w:val="22"/>
                <w:szCs w:val="22"/>
              </w:rPr>
              <w:t>N/A</w:t>
            </w:r>
          </w:p>
        </w:tc>
      </w:tr>
    </w:tbl>
    <w:p w:rsidRPr="009F7CED" w:rsidR="00301DC2" w:rsidP="00587695" w:rsidRDefault="00301DC2" w14:paraId="56E6101F" w14:textId="77777777">
      <w:pPr>
        <w:ind w:right="-377"/>
        <w:jc w:val="both"/>
        <w:rPr>
          <w:rFonts w:cs="Arial"/>
          <w:sz w:val="22"/>
          <w:szCs w:val="22"/>
        </w:rPr>
      </w:pPr>
    </w:p>
    <w:p w:rsidRPr="00D05B67" w:rsidR="00B66D03" w:rsidP="00696582" w:rsidRDefault="000B30A6" w14:paraId="53055E4F" w14:textId="77777777">
      <w:pPr>
        <w:ind w:left="-1276" w:right="-377" w:firstLine="283"/>
        <w:jc w:val="both"/>
        <w:rPr>
          <w:rFonts w:cs="Arial"/>
          <w:b/>
          <w:sz w:val="22"/>
          <w:szCs w:val="22"/>
        </w:rPr>
      </w:pPr>
      <w:r w:rsidRPr="00D05B67">
        <w:rPr>
          <w:rFonts w:cs="Arial"/>
          <w:b/>
          <w:sz w:val="22"/>
          <w:szCs w:val="22"/>
        </w:rPr>
        <w:t>Aprobó</w:t>
      </w:r>
      <w:r w:rsidRPr="00D05B67" w:rsidR="00CB4D37">
        <w:rPr>
          <w:rFonts w:cs="Arial"/>
          <w:b/>
          <w:sz w:val="22"/>
          <w:szCs w:val="22"/>
        </w:rPr>
        <w:t>:</w:t>
      </w:r>
    </w:p>
    <w:p w:rsidR="00D05B67" w:rsidP="00D05B67" w:rsidRDefault="00D05B67" w14:paraId="0FFFEFDE" w14:textId="77777777">
      <w:pPr>
        <w:pStyle w:val="Listavistosa-nfasis11"/>
        <w:jc w:val="both"/>
        <w:rPr>
          <w:rFonts w:ascii="Arial" w:hAnsi="Arial" w:cs="Arial"/>
          <w:b/>
        </w:rPr>
      </w:pPr>
      <w:r w:rsidRPr="6C682B2B" w:rsidR="00D05B67">
        <w:rPr>
          <w:rFonts w:ascii="Arial" w:hAnsi="Arial" w:cs="Arial"/>
          <w:b w:val="1"/>
          <w:bCs w:val="1"/>
        </w:rPr>
        <w:t>_________________</w:t>
      </w:r>
    </w:p>
    <w:p w:rsidR="3D9070E4" w:rsidP="6C682B2B" w:rsidRDefault="3D9070E4" w14:paraId="13F490F0" w14:textId="700FCA83">
      <w:pPr>
        <w:pStyle w:val="Listavistosa-nfasis11"/>
        <w:suppressLineNumbers w:val="0"/>
        <w:bidi w:val="0"/>
        <w:spacing w:before="0" w:beforeAutospacing="off" w:after="200" w:afterAutospacing="off" w:line="276" w:lineRule="auto"/>
        <w:ind w:left="720" w:right="0"/>
        <w:jc w:val="left"/>
        <w:rPr>
          <w:rFonts w:ascii="Arial" w:hAnsi="Arial" w:cs="Arial"/>
          <w:b w:val="1"/>
          <w:bCs w:val="1"/>
        </w:rPr>
      </w:pPr>
      <w:r w:rsidRPr="6C682B2B" w:rsidR="3D9070E4">
        <w:rPr>
          <w:rFonts w:ascii="Arial" w:hAnsi="Arial" w:cs="Arial"/>
          <w:b w:val="1"/>
          <w:bCs w:val="1"/>
        </w:rPr>
        <w:t>PAOLA ELVIRA THIRIAT TOVAR</w:t>
      </w:r>
    </w:p>
    <w:p w:rsidRPr="00C2408F" w:rsidR="00C00239" w:rsidP="6C682B2B" w:rsidRDefault="00C00239" w14:paraId="05A30898" w14:textId="4A4CB1A8">
      <w:pPr>
        <w:pStyle w:val="Listavistosa-nfasis11"/>
        <w:rPr>
          <w:rFonts w:ascii="Arial" w:hAnsi="Arial" w:cs="Arial"/>
          <w:b w:val="1"/>
          <w:bCs w:val="1"/>
        </w:rPr>
      </w:pPr>
      <w:r w:rsidRPr="6C682B2B" w:rsidR="00C00239">
        <w:rPr>
          <w:rFonts w:ascii="Arial" w:hAnsi="Arial" w:cs="Arial"/>
          <w:b w:val="1"/>
          <w:bCs w:val="1"/>
        </w:rPr>
        <w:t>Directora de Industria de Comunicaciones</w:t>
      </w:r>
      <w:r w:rsidRPr="6C682B2B" w:rsidR="6DCAADC3">
        <w:rPr>
          <w:rFonts w:ascii="Arial" w:hAnsi="Arial" w:cs="Arial"/>
          <w:b w:val="1"/>
          <w:bCs w:val="1"/>
        </w:rPr>
        <w:t xml:space="preserve"> (E) </w:t>
      </w:r>
    </w:p>
    <w:p w:rsidRPr="00E0174F" w:rsidR="00D05B67" w:rsidP="00696582" w:rsidRDefault="00D05B67" w14:paraId="2305B046" w14:textId="77777777">
      <w:pPr>
        <w:pStyle w:val="Listavistosa-nfasis11"/>
        <w:rPr>
          <w:rFonts w:ascii="Arial" w:hAnsi="Arial" w:cs="Arial"/>
          <w:b/>
        </w:rPr>
      </w:pPr>
    </w:p>
    <w:p w:rsidRPr="00E0174F" w:rsidR="00366F75" w:rsidP="00366F75" w:rsidRDefault="00366F75" w14:paraId="2C4820D5" w14:textId="77777777">
      <w:pPr>
        <w:pStyle w:val="Listavistosa-nfasis11"/>
        <w:jc w:val="both"/>
        <w:rPr>
          <w:rFonts w:ascii="Arial" w:hAnsi="Arial" w:cs="Arial"/>
          <w:b/>
        </w:rPr>
      </w:pPr>
      <w:r w:rsidRPr="6C682B2B" w:rsidR="00366F75">
        <w:rPr>
          <w:rFonts w:ascii="Arial" w:hAnsi="Arial" w:cs="Arial"/>
          <w:b w:val="1"/>
          <w:bCs w:val="1"/>
        </w:rPr>
        <w:t>_________________</w:t>
      </w:r>
    </w:p>
    <w:p w:rsidR="0D928BA3" w:rsidP="2DE035DD" w:rsidRDefault="0D928BA3" w14:paraId="650D9F29" w14:textId="4604027F">
      <w:pPr>
        <w:pStyle w:val="Listavistosa-nfasis11"/>
        <w:suppressLineNumbers w:val="0"/>
        <w:bidi w:val="0"/>
        <w:spacing w:before="0" w:beforeAutospacing="off" w:after="200" w:afterAutospacing="off" w:line="276" w:lineRule="auto"/>
        <w:ind w:left="720" w:right="0"/>
        <w:jc w:val="left"/>
        <w:rPr>
          <w:rFonts w:ascii="Arial Narrow" w:hAnsi="Arial Narrow" w:eastAsia="Arial Narrow" w:cs="Arial Narrow"/>
          <w:b w:val="0"/>
          <w:bCs w:val="0"/>
          <w:i w:val="0"/>
          <w:iCs w:val="0"/>
          <w:caps w:val="0"/>
          <w:smallCaps w:val="0"/>
          <w:noProof w:val="0"/>
          <w:color w:val="000000" w:themeColor="text1" w:themeTint="FF" w:themeShade="FF"/>
          <w:sz w:val="16"/>
          <w:szCs w:val="16"/>
          <w:lang w:val="es-CO"/>
        </w:rPr>
      </w:pPr>
      <w:r w:rsidRPr="2DE035DD" w:rsidR="0D928BA3">
        <w:rPr>
          <w:rFonts w:ascii="Arial" w:hAnsi="Arial" w:cs="Arial"/>
          <w:b w:val="1"/>
          <w:bCs w:val="1"/>
        </w:rPr>
        <w:t>RUBY RUTH RAM</w:t>
      </w:r>
      <w:r w:rsidRPr="2DE035DD" w:rsidR="3CBFE54C">
        <w:rPr>
          <w:rFonts w:ascii="Arial" w:hAnsi="Arial" w:cs="Arial"/>
          <w:b w:val="1"/>
          <w:bCs w:val="1"/>
        </w:rPr>
        <w:t>Í</w:t>
      </w:r>
      <w:r w:rsidRPr="2DE035DD" w:rsidR="0D928BA3">
        <w:rPr>
          <w:rFonts w:ascii="Arial" w:hAnsi="Arial" w:cs="Arial"/>
          <w:b w:val="1"/>
          <w:bCs w:val="1"/>
        </w:rPr>
        <w:t>REZ MEDINA</w:t>
      </w:r>
    </w:p>
    <w:p w:rsidRPr="00C2408F" w:rsidR="00E233B5" w:rsidP="2DE035DD" w:rsidRDefault="00E233B5" w14:paraId="2E8ED8F1" w14:textId="2D48ED1F">
      <w:pPr>
        <w:pStyle w:val="Listavistosa-nfasis11"/>
        <w:rPr>
          <w:rFonts w:ascii="Arial" w:hAnsi="Arial" w:cs="Arial"/>
          <w:b w:val="1"/>
          <w:bCs w:val="1"/>
        </w:rPr>
      </w:pPr>
      <w:r w:rsidRPr="2DE035DD" w:rsidR="00E233B5">
        <w:rPr>
          <w:rFonts w:ascii="Arial" w:hAnsi="Arial" w:cs="Arial"/>
          <w:b w:val="1"/>
          <w:bCs w:val="1"/>
          <w:lang w:val="es-ES"/>
        </w:rPr>
        <w:t>Director</w:t>
      </w:r>
      <w:r w:rsidRPr="2DE035DD" w:rsidR="47B730E8">
        <w:rPr>
          <w:rFonts w:ascii="Arial" w:hAnsi="Arial" w:cs="Arial"/>
          <w:b w:val="1"/>
          <w:bCs w:val="1"/>
          <w:lang w:val="es-ES"/>
        </w:rPr>
        <w:t>a</w:t>
      </w:r>
      <w:r w:rsidRPr="2DE035DD" w:rsidR="00E233B5">
        <w:rPr>
          <w:rFonts w:ascii="Arial" w:hAnsi="Arial" w:cs="Arial"/>
          <w:b w:val="1"/>
          <w:bCs w:val="1"/>
          <w:lang w:val="es-ES"/>
        </w:rPr>
        <w:t xml:space="preserve"> Jurídic</w:t>
      </w:r>
      <w:r w:rsidRPr="2DE035DD" w:rsidR="443430FE">
        <w:rPr>
          <w:rFonts w:ascii="Arial" w:hAnsi="Arial" w:cs="Arial"/>
          <w:b w:val="1"/>
          <w:bCs w:val="1"/>
          <w:lang w:val="es-ES"/>
        </w:rPr>
        <w:t>a</w:t>
      </w:r>
    </w:p>
    <w:p w:rsidRPr="00E0174F" w:rsidR="00E0174F" w:rsidP="00366F75" w:rsidRDefault="00E0174F" w14:paraId="01934125" w14:textId="77777777">
      <w:pPr>
        <w:pStyle w:val="Listavistosa-nfasis11"/>
        <w:rPr>
          <w:rFonts w:ascii="Arial" w:hAnsi="Arial" w:cs="Arial"/>
          <w:b/>
        </w:rPr>
      </w:pPr>
    </w:p>
    <w:p w:rsidRPr="00366F75" w:rsidR="006779DA" w:rsidP="00696582" w:rsidRDefault="006779DA" w14:paraId="16D3ACBD" w14:textId="626F304C">
      <w:pPr>
        <w:pStyle w:val="Listavistosa-nfasis11"/>
        <w:rPr>
          <w:rFonts w:ascii="Arial" w:hAnsi="Arial" w:cs="Arial"/>
          <w:b/>
          <w:color w:val="FF0000"/>
        </w:rPr>
      </w:pPr>
    </w:p>
    <w:sectPr w:rsidRPr="00366F75" w:rsidR="006779DA" w:rsidSect="00F77DB8">
      <w:headerReference w:type="default" r:id="rId12"/>
      <w:footerReference w:type="default" r:id="rId13"/>
      <w:headerReference w:type="first" r:id="rId14"/>
      <w:footerReference w:type="first" r:id="rId15"/>
      <w:type w:val="continuous"/>
      <w:pgSz w:w="12240" w:h="15840" w:orient="portrait"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779" w:rsidRDefault="00C76779" w14:paraId="5DAFAF32" w14:textId="77777777">
      <w:r>
        <w:separator/>
      </w:r>
    </w:p>
  </w:endnote>
  <w:endnote w:type="continuationSeparator" w:id="0">
    <w:p w:rsidR="00C76779" w:rsidRDefault="00C76779" w14:paraId="4D2B19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77DB8" w:rsidP="00F77DB8" w:rsidRDefault="00F77DB8" w14:paraId="6E67A484" w14:textId="246E14A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rsidR="00F77DB8" w:rsidP="00F77DB8" w:rsidRDefault="00F77DB8" w14:paraId="25B85007" w14:textId="6E3FE63E">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rFonts w:ascii="Calibri" w:hAnsi="Calibri" w:cs="Calibri"/>
        <w:color w:val="000000"/>
      </w:rPr>
      <w:tab/>
    </w:r>
  </w:p>
  <w:p w:rsidR="00836C6A" w:rsidP="00F77DB8" w:rsidRDefault="00F77DB8" w14:paraId="7B62638E" w14:textId="643DD8EB">
    <w:pPr>
      <w:pStyle w:val="Piedepgina"/>
      <w:jc w:val="right"/>
    </w:pPr>
    <w:r>
      <w:rPr>
        <w:rFonts w:ascii="Calibri" w:hAnsi="Calibri" w:cs="Calibri"/>
        <w:color w:val="000000"/>
      </w:rPr>
      <w:tab/>
    </w:r>
    <w:r>
      <w:rPr>
        <w:rFonts w:ascii="Calibri" w:hAnsi="Calibri" w:cs="Calibri"/>
        <w:color w:val="000000"/>
      </w:rPr>
      <w:tab/>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8240"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F569A" w:rsidR="00FE2D84" w:rsidP="00692F01" w:rsidRDefault="00692F01" w14:paraId="21CDF9FE" w14:textId="4A625D82">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w14:anchorId="5C09C92A">
            <v:shapetype id="_x0000_t202" coordsize="21600,21600" o:spt="202" path="m,l,21600r21600,l21600,xe" w14:anchorId="475BE78E">
              <v:stroke joinstyle="miter"/>
              <v:path gradientshapeok="t" o:connecttype="rect"/>
            </v:shapetype>
            <v:shape id="MSIPCM6e1c4ae9bb68bcc40527ef41" style="position:absolute;left:0;text-align:left;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324040364,&quot;Height&quot;:792.0,&quot;Width&quot;:612.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v:textbox inset="20pt,0,,0">
                <w:txbxContent>
                  <w:p w:rsidRPr="00AF569A" w:rsidR="00FE2D84" w:rsidP="00692F01" w:rsidRDefault="00692F01" w14:paraId="54D20C98" w14:textId="4A625D82">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rsidRPr="0084294E" w:rsidR="00F07A7D" w:rsidP="008C703D" w:rsidRDefault="00F07A7D" w14:paraId="089230A1" w14:textId="4395C5FA">
    <w:pPr>
      <w:pStyle w:val="Piedepgina"/>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9A" w:rsidP="003650D5" w:rsidRDefault="00F77DB8" w14:paraId="2B8EE956" w14:textId="13516AA7">
    <w:pPr>
      <w:pStyle w:val="Piedepgina"/>
      <w:ind w:left="-709"/>
      <w:rPr>
        <w:rFonts w:ascii="Calibri" w:hAnsi="Calibri" w:cs="Calibri"/>
        <w:color w:val="000000"/>
      </w:rPr>
    </w:pPr>
    <w:r>
      <w:rPr>
        <w:noProof/>
      </w:rPr>
      <w:tab/>
    </w:r>
    <w:r>
      <w:rPr>
        <w:noProof/>
      </w:rPr>
      <w:tab/>
    </w:r>
  </w:p>
  <w:p w:rsidR="00F77DB8" w:rsidP="00F77DB8" w:rsidRDefault="00F77DB8" w14:paraId="7E9BB38D" w14:textId="6A6E08F1">
    <w:pPr>
      <w:pStyle w:val="Piedepgina"/>
      <w:tabs>
        <w:tab w:val="clear" w:pos="8504"/>
      </w:tabs>
      <w:ind w:left="-709"/>
      <w:rPr>
        <w:rFonts w:ascii="Calibri" w:hAnsi="Calibri" w:cs="Calibri"/>
        <w:color w:val="000000"/>
      </w:rPr>
    </w:pPr>
    <w:r>
      <w:rPr>
        <w:noProof/>
      </w:rPr>
      <w:tab/>
    </w:r>
    <w:r>
      <w:rPr>
        <w:noProof/>
      </w:rPr>
      <w:tab/>
    </w:r>
    <w:r>
      <w:rPr>
        <w:noProof/>
      </w:rPr>
      <w:tab/>
    </w:r>
    <w:r>
      <w:rPr>
        <w:noProof/>
      </w:rPr>
      <w:tab/>
    </w:r>
    <w:r>
      <w:rPr>
        <w:noProof/>
      </w:rPr>
      <w:t xml:space="preserve">    </w:t>
    </w:r>
    <w:r>
      <w:rPr>
        <w:noProof/>
      </w:rPr>
      <w:tab/>
    </w:r>
    <w:r>
      <w:rPr>
        <w:noProof/>
      </w:rPr>
      <w:t xml:space="preserve">                       </w:t>
    </w:r>
    <w:r>
      <w:rPr>
        <w:rFonts w:ascii="Calibri" w:hAnsi="Calibri" w:cs="Calibri"/>
        <w:color w:val="000000"/>
      </w:rPr>
      <w:t>GJU-TIC-FM-010</w:t>
    </w:r>
  </w:p>
  <w:p w:rsidR="00F77DB8" w:rsidP="00F77DB8" w:rsidRDefault="00F77DB8" w14:paraId="0D0AAF29" w14:textId="3D3F049B">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779" w:rsidRDefault="00C76779" w14:paraId="6B285E63" w14:textId="77777777">
      <w:r>
        <w:separator/>
      </w:r>
    </w:p>
  </w:footnote>
  <w:footnote w:type="continuationSeparator" w:id="0">
    <w:p w:rsidR="00C76779" w:rsidRDefault="00C76779" w14:paraId="2850CC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07A7D" w:rsidRDefault="00F07A7D" w14:paraId="26AB03BF" w14:textId="77777777">
    <w:pPr>
      <w:pStyle w:val="Encabezado"/>
    </w:pPr>
  </w:p>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4"/>
      <w:gridCol w:w="5775"/>
      <w:gridCol w:w="1449"/>
    </w:tblGrid>
    <w:tr w:rsidR="008C703D" w:rsidTr="38BD1CEB" w14:paraId="190BE4D9" w14:textId="77777777">
      <w:tc>
        <w:tcPr>
          <w:tcW w:w="357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366F75" w:rsidR="008C703D" w:rsidP="38BD1CEB" w:rsidRDefault="00D86AD5" w14:paraId="09BB7B8D" w14:textId="66B16175">
          <w:pPr>
            <w:rPr>
              <w:rFonts w:ascii="Times New Roman" w:hAnsi="Times New Roman"/>
              <w:sz w:val="24"/>
              <w:szCs w:val="24"/>
              <w:lang w:val="es-CO" w:eastAsia="es-CO"/>
            </w:rPr>
          </w:pPr>
          <w:r>
            <w:rPr>
              <w:noProof/>
            </w:rPr>
            <w:t xml:space="preserve">                 </w:t>
          </w:r>
          <w:r w:rsidR="38BD1CEB">
            <w:rPr>
              <w:noProof/>
            </w:rPr>
            <w:drawing>
              <wp:inline distT="0" distB="0" distL="0" distR="0" wp14:anchorId="1FE681C4" wp14:editId="1FAAB8FB">
                <wp:extent cx="358140" cy="637673"/>
                <wp:effectExtent l="0" t="0" r="3810" b="0"/>
                <wp:docPr id="627979241"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a:ext>
                          </a:extLst>
                        </a:blip>
                        <a:stretch>
                          <a:fillRect/>
                        </a:stretch>
                      </pic:blipFill>
                      <pic:spPr>
                        <a:xfrm>
                          <a:off x="0" y="0"/>
                          <a:ext cx="361341" cy="643372"/>
                        </a:xfrm>
                        <a:prstGeom prst="rect">
                          <a:avLst/>
                        </a:prstGeom>
                      </pic:spPr>
                    </pic:pic>
                  </a:graphicData>
                </a:graphic>
              </wp:inline>
            </w:drawing>
          </w:r>
        </w:p>
      </w:tc>
      <w:tc>
        <w:tcPr>
          <w:tcW w:w="5775" w:type="dxa"/>
          <w:tcBorders>
            <w:left w:val="single" w:color="000000" w:themeColor="text1" w:sz="12" w:space="0"/>
          </w:tcBorders>
          <w:vAlign w:val="center"/>
        </w:tcPr>
        <w:p w:rsidR="008C703D" w:rsidP="001447C1" w:rsidRDefault="008C703D" w14:paraId="787F766F" w14:textId="77777777">
          <w:pPr>
            <w:pStyle w:val="Ttulo2"/>
            <w:ind w:left="72" w:right="72"/>
          </w:pPr>
          <w:r w:rsidRPr="00FD3D04">
            <w:rPr>
              <w:rFonts w:cs="Arial"/>
              <w:bCs/>
              <w:color w:val="000000"/>
              <w:sz w:val="24"/>
              <w:szCs w:val="24"/>
            </w:rPr>
            <w:t>FORMATO MEMORIA JUSTIFICATIVA</w:t>
          </w:r>
        </w:p>
      </w:tc>
      <w:tc>
        <w:tcPr>
          <w:tcW w:w="1449" w:type="dxa"/>
          <w:vAlign w:val="center"/>
        </w:tcPr>
        <w:p w:rsidR="008C703D" w:rsidP="008C703D" w:rsidRDefault="00B237AC" w14:paraId="4CEF7297" w14:textId="7E6064B0">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F07A7D" w:rsidRDefault="00F07A7D" w14:paraId="78571213"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7"/>
      <w:gridCol w:w="5752"/>
      <w:gridCol w:w="1979"/>
    </w:tblGrid>
    <w:tr w:rsidR="008C703D" w:rsidTr="00D97F1C" w14:paraId="20778B37" w14:textId="77777777">
      <w:trPr>
        <w:trHeight w:val="1408"/>
      </w:trPr>
      <w:tc>
        <w:tcPr>
          <w:tcW w:w="3067" w:type="dxa"/>
        </w:tcPr>
        <w:p w:rsidRPr="00366F75" w:rsidR="008C703D" w:rsidP="00D97F1C" w:rsidRDefault="002B5285" w14:paraId="69C28DE1" w14:textId="716EAEEE">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rsidR="008C703D" w:rsidP="00FD3D04" w:rsidRDefault="008C703D" w14:paraId="67C9E327" w14:textId="77777777">
          <w:pPr>
            <w:pStyle w:val="Ttulo2"/>
            <w:ind w:left="72" w:right="72"/>
          </w:pPr>
          <w:r w:rsidRPr="00FD3D04">
            <w:rPr>
              <w:rFonts w:cs="Arial"/>
              <w:bCs/>
              <w:color w:val="000000"/>
              <w:sz w:val="24"/>
              <w:szCs w:val="24"/>
            </w:rPr>
            <w:t>FORMATO MEMORIA JUSTIFICATIVA</w:t>
          </w:r>
        </w:p>
      </w:tc>
      <w:tc>
        <w:tcPr>
          <w:tcW w:w="1979" w:type="dxa"/>
          <w:vAlign w:val="center"/>
        </w:tcPr>
        <w:p w:rsidR="008C703D" w:rsidP="008C703D" w:rsidRDefault="00B237AC" w14:paraId="471C3705" w14:textId="1AC9FB15">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350767" w:rsidRDefault="00350767" w14:paraId="25249300" w14:textId="77777777">
    <w:pPr>
      <w:pStyle w:val="Encabezado"/>
    </w:pPr>
  </w:p>
</w:hdr>
</file>

<file path=word/intelligence2.xml><?xml version="1.0" encoding="utf-8"?>
<int2:intelligence xmlns:int2="http://schemas.microsoft.com/office/intelligence/2020/intelligence" xmlns:oel="http://schemas.microsoft.com/office/2019/extlst">
  <int2:observations>
    <int2:textHash int2:hashCode="/Y1GU9zvr39Fhf" int2:id="6J3OhYCQ">
      <int2:state int2:value="Rejected" int2:type="spell"/>
    </int2:textHash>
    <int2:textHash int2:hashCode="jsHYTbX36ewhSN" int2:id="4CqxUwoR">
      <int2:state int2:value="Rejected" int2:type="spell"/>
    </int2:textHash>
    <int2:textHash int2:hashCode="AR7fbyX7B+HRoC" int2:id="4hZR7snR">
      <int2:state int2:value="Rejected" int2:type="spell"/>
    </int2:textHash>
    <int2:bookmark int2:bookmarkName="_Int_Fby7TYL0" int2:invalidationBookmarkName="" int2:hashCode="+GDz8QRjgl5bwk" int2:id="c8tGM5A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hint="default" w:ascii="Arial" w:hAnsi="Arial" w:eastAsia="Arial Unicode MS" w:cs="Arial"/>
      </w:rPr>
    </w:lvl>
    <w:lvl w:ilvl="1" w:tplc="240A000D">
      <w:start w:val="1"/>
      <w:numFmt w:val="bullet"/>
      <w:lvlText w:val=""/>
      <w:lvlJc w:val="left"/>
      <w:pPr>
        <w:ind w:left="1080" w:hanging="360"/>
      </w:pPr>
      <w:rPr>
        <w:rFonts w:hint="default" w:ascii="Wingdings" w:hAnsi="Wingdings"/>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hint="default" w:ascii="Arial" w:hAnsi="Arial" w:eastAsia="Calibri" w:cs="Arial"/>
        <w:b/>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multilevel"/>
    <w:tmpl w:val="90DA5F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6F9D507"/>
    <w:multiLevelType w:val="hybridMultilevel"/>
    <w:tmpl w:val="FFFFFFFF"/>
    <w:lvl w:ilvl="0" w:tplc="81E25888">
      <w:start w:val="2"/>
      <w:numFmt w:val="bullet"/>
      <w:lvlText w:val="-"/>
      <w:lvlJc w:val="left"/>
      <w:pPr>
        <w:ind w:left="720" w:hanging="360"/>
      </w:pPr>
      <w:rPr>
        <w:rFonts w:hint="default" w:ascii="Aptos" w:hAnsi="Aptos"/>
      </w:rPr>
    </w:lvl>
    <w:lvl w:ilvl="1" w:tplc="E19CC6FC">
      <w:start w:val="1"/>
      <w:numFmt w:val="bullet"/>
      <w:lvlText w:val="o"/>
      <w:lvlJc w:val="left"/>
      <w:pPr>
        <w:ind w:left="1440" w:hanging="360"/>
      </w:pPr>
      <w:rPr>
        <w:rFonts w:hint="default" w:ascii="Courier New" w:hAnsi="Courier New"/>
      </w:rPr>
    </w:lvl>
    <w:lvl w:ilvl="2" w:tplc="2D903976">
      <w:start w:val="1"/>
      <w:numFmt w:val="bullet"/>
      <w:lvlText w:val=""/>
      <w:lvlJc w:val="left"/>
      <w:pPr>
        <w:ind w:left="2160" w:hanging="360"/>
      </w:pPr>
      <w:rPr>
        <w:rFonts w:hint="default" w:ascii="Wingdings" w:hAnsi="Wingdings"/>
      </w:rPr>
    </w:lvl>
    <w:lvl w:ilvl="3" w:tplc="F4DAF358">
      <w:start w:val="1"/>
      <w:numFmt w:val="bullet"/>
      <w:lvlText w:val=""/>
      <w:lvlJc w:val="left"/>
      <w:pPr>
        <w:ind w:left="2880" w:hanging="360"/>
      </w:pPr>
      <w:rPr>
        <w:rFonts w:hint="default" w:ascii="Symbol" w:hAnsi="Symbol"/>
      </w:rPr>
    </w:lvl>
    <w:lvl w:ilvl="4" w:tplc="173A53CC">
      <w:start w:val="1"/>
      <w:numFmt w:val="bullet"/>
      <w:lvlText w:val="o"/>
      <w:lvlJc w:val="left"/>
      <w:pPr>
        <w:ind w:left="3600" w:hanging="360"/>
      </w:pPr>
      <w:rPr>
        <w:rFonts w:hint="default" w:ascii="Courier New" w:hAnsi="Courier New"/>
      </w:rPr>
    </w:lvl>
    <w:lvl w:ilvl="5" w:tplc="33AA4850">
      <w:start w:val="1"/>
      <w:numFmt w:val="bullet"/>
      <w:lvlText w:val=""/>
      <w:lvlJc w:val="left"/>
      <w:pPr>
        <w:ind w:left="4320" w:hanging="360"/>
      </w:pPr>
      <w:rPr>
        <w:rFonts w:hint="default" w:ascii="Wingdings" w:hAnsi="Wingdings"/>
      </w:rPr>
    </w:lvl>
    <w:lvl w:ilvl="6" w:tplc="8EE20FEA">
      <w:start w:val="1"/>
      <w:numFmt w:val="bullet"/>
      <w:lvlText w:val=""/>
      <w:lvlJc w:val="left"/>
      <w:pPr>
        <w:ind w:left="5040" w:hanging="360"/>
      </w:pPr>
      <w:rPr>
        <w:rFonts w:hint="default" w:ascii="Symbol" w:hAnsi="Symbol"/>
      </w:rPr>
    </w:lvl>
    <w:lvl w:ilvl="7" w:tplc="E8F6C12C">
      <w:start w:val="1"/>
      <w:numFmt w:val="bullet"/>
      <w:lvlText w:val="o"/>
      <w:lvlJc w:val="left"/>
      <w:pPr>
        <w:ind w:left="5760" w:hanging="360"/>
      </w:pPr>
      <w:rPr>
        <w:rFonts w:hint="default" w:ascii="Courier New" w:hAnsi="Courier New"/>
      </w:rPr>
    </w:lvl>
    <w:lvl w:ilvl="8" w:tplc="6A20D04E">
      <w:start w:val="1"/>
      <w:numFmt w:val="bullet"/>
      <w:lvlText w:val=""/>
      <w:lvlJc w:val="left"/>
      <w:pPr>
        <w:ind w:left="6480" w:hanging="360"/>
      </w:pPr>
      <w:rPr>
        <w:rFonts w:hint="default" w:ascii="Wingdings" w:hAnsi="Wingdings"/>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7C7321"/>
    <w:multiLevelType w:val="hybridMultilevel"/>
    <w:tmpl w:val="EF704034"/>
    <w:lvl w:ilvl="0" w:tplc="3AAE91AA">
      <w:start w:val="1"/>
      <w:numFmt w:val="bullet"/>
      <w:lvlText w:val=""/>
      <w:lvlJc w:val="left"/>
      <w:pPr>
        <w:tabs>
          <w:tab w:val="num" w:pos="720"/>
        </w:tabs>
        <w:ind w:left="720" w:hanging="360"/>
      </w:pPr>
      <w:rPr>
        <w:rFonts w:hint="default" w:ascii="Wingdings" w:hAnsi="Wingdings"/>
        <w:color w:val="auto"/>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F32023"/>
    <w:multiLevelType w:val="hybridMultilevel"/>
    <w:tmpl w:val="E91C692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0" w15:restartNumberingAfterBreak="0">
    <w:nsid w:val="40A3792D"/>
    <w:multiLevelType w:val="hybridMultilevel"/>
    <w:tmpl w:val="1150A7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46A8BCE"/>
    <w:multiLevelType w:val="hybridMultilevel"/>
    <w:tmpl w:val="D4A68794"/>
    <w:lvl w:ilvl="0" w:tplc="B762A782">
      <w:start w:val="1"/>
      <w:numFmt w:val="bullet"/>
      <w:lvlText w:val=""/>
      <w:lvlJc w:val="left"/>
      <w:pPr>
        <w:ind w:left="360" w:hanging="360"/>
      </w:pPr>
      <w:rPr>
        <w:rFonts w:hint="default" w:ascii="Symbol" w:hAnsi="Symbol"/>
      </w:rPr>
    </w:lvl>
    <w:lvl w:ilvl="1" w:tplc="A5B46E7C">
      <w:start w:val="1"/>
      <w:numFmt w:val="bullet"/>
      <w:lvlText w:val="o"/>
      <w:lvlJc w:val="left"/>
      <w:pPr>
        <w:ind w:left="1440" w:hanging="360"/>
      </w:pPr>
      <w:rPr>
        <w:rFonts w:hint="default" w:ascii="Courier New" w:hAnsi="Courier New"/>
      </w:rPr>
    </w:lvl>
    <w:lvl w:ilvl="2" w:tplc="F5B82F22">
      <w:start w:val="1"/>
      <w:numFmt w:val="bullet"/>
      <w:lvlText w:val=""/>
      <w:lvlJc w:val="left"/>
      <w:pPr>
        <w:ind w:left="2160" w:hanging="360"/>
      </w:pPr>
      <w:rPr>
        <w:rFonts w:hint="default" w:ascii="Wingdings" w:hAnsi="Wingdings"/>
      </w:rPr>
    </w:lvl>
    <w:lvl w:ilvl="3" w:tplc="73CAAAC2">
      <w:start w:val="1"/>
      <w:numFmt w:val="bullet"/>
      <w:lvlText w:val=""/>
      <w:lvlJc w:val="left"/>
      <w:pPr>
        <w:ind w:left="2880" w:hanging="360"/>
      </w:pPr>
      <w:rPr>
        <w:rFonts w:hint="default" w:ascii="Symbol" w:hAnsi="Symbol"/>
      </w:rPr>
    </w:lvl>
    <w:lvl w:ilvl="4" w:tplc="5F6E929E">
      <w:start w:val="1"/>
      <w:numFmt w:val="bullet"/>
      <w:lvlText w:val="o"/>
      <w:lvlJc w:val="left"/>
      <w:pPr>
        <w:ind w:left="3600" w:hanging="360"/>
      </w:pPr>
      <w:rPr>
        <w:rFonts w:hint="default" w:ascii="Courier New" w:hAnsi="Courier New"/>
      </w:rPr>
    </w:lvl>
    <w:lvl w:ilvl="5" w:tplc="3828A0EC">
      <w:start w:val="1"/>
      <w:numFmt w:val="bullet"/>
      <w:lvlText w:val=""/>
      <w:lvlJc w:val="left"/>
      <w:pPr>
        <w:ind w:left="4320" w:hanging="360"/>
      </w:pPr>
      <w:rPr>
        <w:rFonts w:hint="default" w:ascii="Wingdings" w:hAnsi="Wingdings"/>
      </w:rPr>
    </w:lvl>
    <w:lvl w:ilvl="6" w:tplc="F0D4ADFC">
      <w:start w:val="1"/>
      <w:numFmt w:val="bullet"/>
      <w:lvlText w:val=""/>
      <w:lvlJc w:val="left"/>
      <w:pPr>
        <w:ind w:left="5040" w:hanging="360"/>
      </w:pPr>
      <w:rPr>
        <w:rFonts w:hint="default" w:ascii="Symbol" w:hAnsi="Symbol"/>
      </w:rPr>
    </w:lvl>
    <w:lvl w:ilvl="7" w:tplc="11D20EC6">
      <w:start w:val="1"/>
      <w:numFmt w:val="bullet"/>
      <w:lvlText w:val="o"/>
      <w:lvlJc w:val="left"/>
      <w:pPr>
        <w:ind w:left="5760" w:hanging="360"/>
      </w:pPr>
      <w:rPr>
        <w:rFonts w:hint="default" w:ascii="Courier New" w:hAnsi="Courier New"/>
      </w:rPr>
    </w:lvl>
    <w:lvl w:ilvl="8" w:tplc="22E64CE0">
      <w:start w:val="1"/>
      <w:numFmt w:val="bullet"/>
      <w:lvlText w:val=""/>
      <w:lvlJc w:val="left"/>
      <w:pPr>
        <w:ind w:left="6480" w:hanging="360"/>
      </w:pPr>
      <w:rPr>
        <w:rFonts w:hint="default" w:ascii="Wingdings" w:hAnsi="Wingdings"/>
      </w:rPr>
    </w:lvl>
  </w:abstractNum>
  <w:abstractNum w:abstractNumId="22"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127B63"/>
    <w:multiLevelType w:val="hybridMultilevel"/>
    <w:tmpl w:val="7BC80F2C"/>
    <w:lvl w:ilvl="0" w:tplc="FFFFFFFF">
      <w:start w:val="1"/>
      <w:numFmt w:val="bullet"/>
      <w:lvlText w:val=""/>
      <w:lvlJc w:val="left"/>
      <w:pPr>
        <w:tabs>
          <w:tab w:val="num" w:pos="720"/>
        </w:tabs>
        <w:ind w:left="720" w:hanging="360"/>
      </w:pPr>
      <w:rPr>
        <w:rFonts w:hint="default" w:ascii="Wingdings" w:hAnsi="Wingdings"/>
      </w:rPr>
    </w:lvl>
    <w:lvl w:ilvl="1" w:tplc="0C0A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A333FD1"/>
    <w:multiLevelType w:val="hybridMultilevel"/>
    <w:tmpl w:val="FFFFFFFF"/>
    <w:lvl w:ilvl="0" w:tplc="EF8215D8">
      <w:start w:val="1"/>
      <w:numFmt w:val="decimal"/>
      <w:lvlText w:val="%1."/>
      <w:lvlJc w:val="left"/>
      <w:pPr>
        <w:ind w:left="720" w:hanging="360"/>
      </w:pPr>
    </w:lvl>
    <w:lvl w:ilvl="1" w:tplc="4F2EFF8A">
      <w:start w:val="1"/>
      <w:numFmt w:val="lowerLetter"/>
      <w:lvlText w:val="%2."/>
      <w:lvlJc w:val="left"/>
      <w:pPr>
        <w:ind w:left="1440" w:hanging="360"/>
      </w:pPr>
    </w:lvl>
    <w:lvl w:ilvl="2" w:tplc="E1DEBD22">
      <w:start w:val="1"/>
      <w:numFmt w:val="lowerRoman"/>
      <w:lvlText w:val="%3."/>
      <w:lvlJc w:val="right"/>
      <w:pPr>
        <w:ind w:left="2160" w:hanging="180"/>
      </w:pPr>
    </w:lvl>
    <w:lvl w:ilvl="3" w:tplc="7180A744">
      <w:start w:val="1"/>
      <w:numFmt w:val="decimal"/>
      <w:lvlText w:val="%4."/>
      <w:lvlJc w:val="left"/>
      <w:pPr>
        <w:ind w:left="2880" w:hanging="360"/>
      </w:pPr>
    </w:lvl>
    <w:lvl w:ilvl="4" w:tplc="6A8CE344">
      <w:start w:val="1"/>
      <w:numFmt w:val="lowerLetter"/>
      <w:lvlText w:val="%5."/>
      <w:lvlJc w:val="left"/>
      <w:pPr>
        <w:ind w:left="3600" w:hanging="360"/>
      </w:pPr>
    </w:lvl>
    <w:lvl w:ilvl="5" w:tplc="2654D63E">
      <w:start w:val="1"/>
      <w:numFmt w:val="lowerRoman"/>
      <w:lvlText w:val="%6."/>
      <w:lvlJc w:val="right"/>
      <w:pPr>
        <w:ind w:left="4320" w:hanging="180"/>
      </w:pPr>
    </w:lvl>
    <w:lvl w:ilvl="6" w:tplc="B9EC2C06">
      <w:start w:val="1"/>
      <w:numFmt w:val="decimal"/>
      <w:lvlText w:val="%7."/>
      <w:lvlJc w:val="left"/>
      <w:pPr>
        <w:ind w:left="5040" w:hanging="360"/>
      </w:pPr>
    </w:lvl>
    <w:lvl w:ilvl="7" w:tplc="46323C9C">
      <w:start w:val="1"/>
      <w:numFmt w:val="lowerLetter"/>
      <w:lvlText w:val="%8."/>
      <w:lvlJc w:val="left"/>
      <w:pPr>
        <w:ind w:left="5760" w:hanging="360"/>
      </w:pPr>
    </w:lvl>
    <w:lvl w:ilvl="8" w:tplc="AD3C8A10">
      <w:start w:val="1"/>
      <w:numFmt w:val="lowerRoman"/>
      <w:lvlText w:val="%9."/>
      <w:lvlJc w:val="right"/>
      <w:pPr>
        <w:ind w:left="6480" w:hanging="180"/>
      </w:pPr>
    </w:lvl>
  </w:abstractNum>
  <w:abstractNum w:abstractNumId="25" w15:restartNumberingAfterBreak="0">
    <w:nsid w:val="4AFE38A9"/>
    <w:multiLevelType w:val="hybridMultilevel"/>
    <w:tmpl w:val="B6C654B2"/>
    <w:lvl w:ilvl="0" w:tplc="240A000D">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26" w15:restartNumberingAfterBreak="0">
    <w:nsid w:val="4D811299"/>
    <w:multiLevelType w:val="hybridMultilevel"/>
    <w:tmpl w:val="4CAE1F3E"/>
    <w:lvl w:ilvl="0" w:tplc="C5F83004">
      <w:start w:val="1440"/>
      <w:numFmt w:val="bullet"/>
      <w:lvlText w:val="-"/>
      <w:lvlJc w:val="left"/>
      <w:pPr>
        <w:ind w:left="720" w:hanging="360"/>
      </w:pPr>
      <w:rPr>
        <w:rFonts w:hint="default" w:ascii="Arial" w:hAnsi="Arial" w:eastAsia="Arial Unicode MS"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17DF449"/>
    <w:multiLevelType w:val="hybridMultilevel"/>
    <w:tmpl w:val="FFFFFFFF"/>
    <w:lvl w:ilvl="0" w:tplc="D9705CF4">
      <w:start w:val="1"/>
      <w:numFmt w:val="bullet"/>
      <w:lvlText w:val="-"/>
      <w:lvlJc w:val="left"/>
      <w:pPr>
        <w:ind w:left="720" w:hanging="360"/>
      </w:pPr>
      <w:rPr>
        <w:rFonts w:hint="default" w:ascii="Aptos" w:hAnsi="Aptos"/>
      </w:rPr>
    </w:lvl>
    <w:lvl w:ilvl="1" w:tplc="7D70985A">
      <w:start w:val="1"/>
      <w:numFmt w:val="bullet"/>
      <w:lvlText w:val="o"/>
      <w:lvlJc w:val="left"/>
      <w:pPr>
        <w:ind w:left="1440" w:hanging="360"/>
      </w:pPr>
      <w:rPr>
        <w:rFonts w:hint="default" w:ascii="Courier New" w:hAnsi="Courier New"/>
      </w:rPr>
    </w:lvl>
    <w:lvl w:ilvl="2" w:tplc="269213A8">
      <w:start w:val="1"/>
      <w:numFmt w:val="bullet"/>
      <w:lvlText w:val=""/>
      <w:lvlJc w:val="left"/>
      <w:pPr>
        <w:ind w:left="2160" w:hanging="360"/>
      </w:pPr>
      <w:rPr>
        <w:rFonts w:hint="default" w:ascii="Wingdings" w:hAnsi="Wingdings"/>
      </w:rPr>
    </w:lvl>
    <w:lvl w:ilvl="3" w:tplc="5B7E4EDC">
      <w:start w:val="1"/>
      <w:numFmt w:val="bullet"/>
      <w:lvlText w:val=""/>
      <w:lvlJc w:val="left"/>
      <w:pPr>
        <w:ind w:left="2880" w:hanging="360"/>
      </w:pPr>
      <w:rPr>
        <w:rFonts w:hint="default" w:ascii="Symbol" w:hAnsi="Symbol"/>
      </w:rPr>
    </w:lvl>
    <w:lvl w:ilvl="4" w:tplc="AE581A04">
      <w:start w:val="1"/>
      <w:numFmt w:val="bullet"/>
      <w:lvlText w:val="o"/>
      <w:lvlJc w:val="left"/>
      <w:pPr>
        <w:ind w:left="3600" w:hanging="360"/>
      </w:pPr>
      <w:rPr>
        <w:rFonts w:hint="default" w:ascii="Courier New" w:hAnsi="Courier New"/>
      </w:rPr>
    </w:lvl>
    <w:lvl w:ilvl="5" w:tplc="7FECF54E">
      <w:start w:val="1"/>
      <w:numFmt w:val="bullet"/>
      <w:lvlText w:val=""/>
      <w:lvlJc w:val="left"/>
      <w:pPr>
        <w:ind w:left="4320" w:hanging="360"/>
      </w:pPr>
      <w:rPr>
        <w:rFonts w:hint="default" w:ascii="Wingdings" w:hAnsi="Wingdings"/>
      </w:rPr>
    </w:lvl>
    <w:lvl w:ilvl="6" w:tplc="3AD2FE06">
      <w:start w:val="1"/>
      <w:numFmt w:val="bullet"/>
      <w:lvlText w:val=""/>
      <w:lvlJc w:val="left"/>
      <w:pPr>
        <w:ind w:left="5040" w:hanging="360"/>
      </w:pPr>
      <w:rPr>
        <w:rFonts w:hint="default" w:ascii="Symbol" w:hAnsi="Symbol"/>
      </w:rPr>
    </w:lvl>
    <w:lvl w:ilvl="7" w:tplc="F63AC456">
      <w:start w:val="1"/>
      <w:numFmt w:val="bullet"/>
      <w:lvlText w:val="o"/>
      <w:lvlJc w:val="left"/>
      <w:pPr>
        <w:ind w:left="5760" w:hanging="360"/>
      </w:pPr>
      <w:rPr>
        <w:rFonts w:hint="default" w:ascii="Courier New" w:hAnsi="Courier New"/>
      </w:rPr>
    </w:lvl>
    <w:lvl w:ilvl="8" w:tplc="9684EA9E">
      <w:start w:val="1"/>
      <w:numFmt w:val="bullet"/>
      <w:lvlText w:val=""/>
      <w:lvlJc w:val="left"/>
      <w:pPr>
        <w:ind w:left="6480" w:hanging="360"/>
      </w:pPr>
      <w:rPr>
        <w:rFonts w:hint="default" w:ascii="Wingdings" w:hAnsi="Wingdings"/>
      </w:rPr>
    </w:lvl>
  </w:abstractNum>
  <w:abstractNum w:abstractNumId="28" w15:restartNumberingAfterBreak="0">
    <w:nsid w:val="52820AD0"/>
    <w:multiLevelType w:val="hybridMultilevel"/>
    <w:tmpl w:val="44084084"/>
    <w:lvl w:ilvl="0" w:tplc="240A000D">
      <w:start w:val="1"/>
      <w:numFmt w:val="bullet"/>
      <w:lvlText w:val=""/>
      <w:lvlJc w:val="left"/>
      <w:pPr>
        <w:ind w:left="-1020" w:hanging="360"/>
      </w:pPr>
      <w:rPr>
        <w:rFonts w:hint="default" w:ascii="Wingdings" w:hAnsi="Wingdings"/>
      </w:rPr>
    </w:lvl>
    <w:lvl w:ilvl="1" w:tplc="240A0003" w:tentative="1">
      <w:start w:val="1"/>
      <w:numFmt w:val="bullet"/>
      <w:lvlText w:val="o"/>
      <w:lvlJc w:val="left"/>
      <w:pPr>
        <w:ind w:left="-300" w:hanging="360"/>
      </w:pPr>
      <w:rPr>
        <w:rFonts w:hint="default" w:ascii="Courier New" w:hAnsi="Courier New" w:cs="Courier New"/>
      </w:rPr>
    </w:lvl>
    <w:lvl w:ilvl="2" w:tplc="240A0005" w:tentative="1">
      <w:start w:val="1"/>
      <w:numFmt w:val="bullet"/>
      <w:lvlText w:val=""/>
      <w:lvlJc w:val="left"/>
      <w:pPr>
        <w:ind w:left="420" w:hanging="360"/>
      </w:pPr>
      <w:rPr>
        <w:rFonts w:hint="default" w:ascii="Wingdings" w:hAnsi="Wingdings"/>
      </w:rPr>
    </w:lvl>
    <w:lvl w:ilvl="3" w:tplc="240A0001" w:tentative="1">
      <w:start w:val="1"/>
      <w:numFmt w:val="bullet"/>
      <w:lvlText w:val=""/>
      <w:lvlJc w:val="left"/>
      <w:pPr>
        <w:ind w:left="1140" w:hanging="360"/>
      </w:pPr>
      <w:rPr>
        <w:rFonts w:hint="default" w:ascii="Symbol" w:hAnsi="Symbol"/>
      </w:rPr>
    </w:lvl>
    <w:lvl w:ilvl="4" w:tplc="240A0003" w:tentative="1">
      <w:start w:val="1"/>
      <w:numFmt w:val="bullet"/>
      <w:lvlText w:val="o"/>
      <w:lvlJc w:val="left"/>
      <w:pPr>
        <w:ind w:left="1860" w:hanging="360"/>
      </w:pPr>
      <w:rPr>
        <w:rFonts w:hint="default" w:ascii="Courier New" w:hAnsi="Courier New" w:cs="Courier New"/>
      </w:rPr>
    </w:lvl>
    <w:lvl w:ilvl="5" w:tplc="240A0005" w:tentative="1">
      <w:start w:val="1"/>
      <w:numFmt w:val="bullet"/>
      <w:lvlText w:val=""/>
      <w:lvlJc w:val="left"/>
      <w:pPr>
        <w:ind w:left="2580" w:hanging="360"/>
      </w:pPr>
      <w:rPr>
        <w:rFonts w:hint="default" w:ascii="Wingdings" w:hAnsi="Wingdings"/>
      </w:rPr>
    </w:lvl>
    <w:lvl w:ilvl="6" w:tplc="240A0001" w:tentative="1">
      <w:start w:val="1"/>
      <w:numFmt w:val="bullet"/>
      <w:lvlText w:val=""/>
      <w:lvlJc w:val="left"/>
      <w:pPr>
        <w:ind w:left="3300" w:hanging="360"/>
      </w:pPr>
      <w:rPr>
        <w:rFonts w:hint="default" w:ascii="Symbol" w:hAnsi="Symbol"/>
      </w:rPr>
    </w:lvl>
    <w:lvl w:ilvl="7" w:tplc="240A0003" w:tentative="1">
      <w:start w:val="1"/>
      <w:numFmt w:val="bullet"/>
      <w:lvlText w:val="o"/>
      <w:lvlJc w:val="left"/>
      <w:pPr>
        <w:ind w:left="4020" w:hanging="360"/>
      </w:pPr>
      <w:rPr>
        <w:rFonts w:hint="default" w:ascii="Courier New" w:hAnsi="Courier New" w:cs="Courier New"/>
      </w:rPr>
    </w:lvl>
    <w:lvl w:ilvl="8" w:tplc="240A0005" w:tentative="1">
      <w:start w:val="1"/>
      <w:numFmt w:val="bullet"/>
      <w:lvlText w:val=""/>
      <w:lvlJc w:val="left"/>
      <w:pPr>
        <w:ind w:left="4740" w:hanging="360"/>
      </w:pPr>
      <w:rPr>
        <w:rFonts w:hint="default" w:ascii="Wingdings" w:hAnsi="Wingdings"/>
      </w:rPr>
    </w:lvl>
  </w:abstractNum>
  <w:abstractNum w:abstractNumId="29" w15:restartNumberingAfterBreak="0">
    <w:nsid w:val="55612A01"/>
    <w:multiLevelType w:val="hybridMultilevel"/>
    <w:tmpl w:val="516C2342"/>
    <w:lvl w:ilvl="0" w:tplc="240A0003">
      <w:start w:val="1"/>
      <w:numFmt w:val="bullet"/>
      <w:lvlText w:val="o"/>
      <w:lvlJc w:val="left"/>
      <w:pPr>
        <w:ind w:left="1068" w:hanging="360"/>
      </w:pPr>
      <w:rPr>
        <w:rFonts w:hint="default" w:ascii="Courier New" w:hAnsi="Courier New" w:cs="Courier New"/>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30"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988006D"/>
    <w:multiLevelType w:val="hybridMultilevel"/>
    <w:tmpl w:val="1F986C7A"/>
    <w:lvl w:ilvl="0" w:tplc="240A000D">
      <w:start w:val="1"/>
      <w:numFmt w:val="bullet"/>
      <w:lvlText w:val=""/>
      <w:lvlJc w:val="left"/>
      <w:pPr>
        <w:ind w:left="1068" w:hanging="360"/>
      </w:pPr>
      <w:rPr>
        <w:rFonts w:hint="default" w:ascii="Wingdings" w:hAnsi="Wingdings"/>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32" w15:restartNumberingAfterBreak="0">
    <w:nsid w:val="599274BB"/>
    <w:multiLevelType w:val="hybridMultilevel"/>
    <w:tmpl w:val="19B6D61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3" w15:restartNumberingAfterBreak="0">
    <w:nsid w:val="5AC27BD1"/>
    <w:multiLevelType w:val="hybridMultilevel"/>
    <w:tmpl w:val="B00A2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0A438E4"/>
    <w:multiLevelType w:val="hybridMultilevel"/>
    <w:tmpl w:val="1602CE3A"/>
    <w:lvl w:ilvl="0" w:tplc="BB08A936">
      <w:numFmt w:val="bullet"/>
      <w:lvlText w:val="-"/>
      <w:lvlJc w:val="left"/>
      <w:pPr>
        <w:ind w:left="322" w:hanging="360"/>
      </w:pPr>
      <w:rPr>
        <w:rFonts w:hint="default" w:ascii="Arial" w:hAnsi="Arial" w:eastAsia="Times" w:cs="Arial"/>
      </w:rPr>
    </w:lvl>
    <w:lvl w:ilvl="1" w:tplc="240A0003" w:tentative="1">
      <w:start w:val="1"/>
      <w:numFmt w:val="bullet"/>
      <w:lvlText w:val="o"/>
      <w:lvlJc w:val="left"/>
      <w:pPr>
        <w:ind w:left="1042" w:hanging="360"/>
      </w:pPr>
      <w:rPr>
        <w:rFonts w:hint="default" w:ascii="Courier New" w:hAnsi="Courier New" w:cs="Courier New"/>
      </w:rPr>
    </w:lvl>
    <w:lvl w:ilvl="2" w:tplc="240A0005" w:tentative="1">
      <w:start w:val="1"/>
      <w:numFmt w:val="bullet"/>
      <w:lvlText w:val=""/>
      <w:lvlJc w:val="left"/>
      <w:pPr>
        <w:ind w:left="1762" w:hanging="360"/>
      </w:pPr>
      <w:rPr>
        <w:rFonts w:hint="default" w:ascii="Wingdings" w:hAnsi="Wingdings"/>
      </w:rPr>
    </w:lvl>
    <w:lvl w:ilvl="3" w:tplc="240A0001" w:tentative="1">
      <w:start w:val="1"/>
      <w:numFmt w:val="bullet"/>
      <w:lvlText w:val=""/>
      <w:lvlJc w:val="left"/>
      <w:pPr>
        <w:ind w:left="2482" w:hanging="360"/>
      </w:pPr>
      <w:rPr>
        <w:rFonts w:hint="default" w:ascii="Symbol" w:hAnsi="Symbol"/>
      </w:rPr>
    </w:lvl>
    <w:lvl w:ilvl="4" w:tplc="240A0003" w:tentative="1">
      <w:start w:val="1"/>
      <w:numFmt w:val="bullet"/>
      <w:lvlText w:val="o"/>
      <w:lvlJc w:val="left"/>
      <w:pPr>
        <w:ind w:left="3202" w:hanging="360"/>
      </w:pPr>
      <w:rPr>
        <w:rFonts w:hint="default" w:ascii="Courier New" w:hAnsi="Courier New" w:cs="Courier New"/>
      </w:rPr>
    </w:lvl>
    <w:lvl w:ilvl="5" w:tplc="240A0005" w:tentative="1">
      <w:start w:val="1"/>
      <w:numFmt w:val="bullet"/>
      <w:lvlText w:val=""/>
      <w:lvlJc w:val="left"/>
      <w:pPr>
        <w:ind w:left="3922" w:hanging="360"/>
      </w:pPr>
      <w:rPr>
        <w:rFonts w:hint="default" w:ascii="Wingdings" w:hAnsi="Wingdings"/>
      </w:rPr>
    </w:lvl>
    <w:lvl w:ilvl="6" w:tplc="240A0001" w:tentative="1">
      <w:start w:val="1"/>
      <w:numFmt w:val="bullet"/>
      <w:lvlText w:val=""/>
      <w:lvlJc w:val="left"/>
      <w:pPr>
        <w:ind w:left="4642" w:hanging="360"/>
      </w:pPr>
      <w:rPr>
        <w:rFonts w:hint="default" w:ascii="Symbol" w:hAnsi="Symbol"/>
      </w:rPr>
    </w:lvl>
    <w:lvl w:ilvl="7" w:tplc="240A0003" w:tentative="1">
      <w:start w:val="1"/>
      <w:numFmt w:val="bullet"/>
      <w:lvlText w:val="o"/>
      <w:lvlJc w:val="left"/>
      <w:pPr>
        <w:ind w:left="5362" w:hanging="360"/>
      </w:pPr>
      <w:rPr>
        <w:rFonts w:hint="default" w:ascii="Courier New" w:hAnsi="Courier New" w:cs="Courier New"/>
      </w:rPr>
    </w:lvl>
    <w:lvl w:ilvl="8" w:tplc="240A0005" w:tentative="1">
      <w:start w:val="1"/>
      <w:numFmt w:val="bullet"/>
      <w:lvlText w:val=""/>
      <w:lvlJc w:val="left"/>
      <w:pPr>
        <w:ind w:left="6082" w:hanging="360"/>
      </w:pPr>
      <w:rPr>
        <w:rFonts w:hint="default" w:ascii="Wingdings" w:hAnsi="Wingdings"/>
      </w:rPr>
    </w:lvl>
  </w:abstractNum>
  <w:abstractNum w:abstractNumId="38" w15:restartNumberingAfterBreak="0">
    <w:nsid w:val="64573526"/>
    <w:multiLevelType w:val="hybridMultilevel"/>
    <w:tmpl w:val="665E973A"/>
    <w:lvl w:ilvl="0" w:tplc="2C08755A">
      <w:start w:val="1"/>
      <w:numFmt w:val="bullet"/>
      <w:lvlText w:val="•"/>
      <w:lvlJc w:val="left"/>
      <w:pPr>
        <w:tabs>
          <w:tab w:val="num" w:pos="999"/>
        </w:tabs>
        <w:ind w:left="999" w:hanging="360"/>
      </w:pPr>
      <w:rPr>
        <w:rFonts w:hint="default" w:ascii="Arial" w:hAnsi="Arial"/>
      </w:rPr>
    </w:lvl>
    <w:lvl w:ilvl="1" w:tplc="5AD0665A" w:tentative="1">
      <w:start w:val="1"/>
      <w:numFmt w:val="bullet"/>
      <w:lvlText w:val="•"/>
      <w:lvlJc w:val="left"/>
      <w:pPr>
        <w:tabs>
          <w:tab w:val="num" w:pos="1719"/>
        </w:tabs>
        <w:ind w:left="1719" w:hanging="360"/>
      </w:pPr>
      <w:rPr>
        <w:rFonts w:hint="default" w:ascii="Arial" w:hAnsi="Arial"/>
      </w:rPr>
    </w:lvl>
    <w:lvl w:ilvl="2" w:tplc="2AD44A04" w:tentative="1">
      <w:start w:val="1"/>
      <w:numFmt w:val="bullet"/>
      <w:lvlText w:val="•"/>
      <w:lvlJc w:val="left"/>
      <w:pPr>
        <w:tabs>
          <w:tab w:val="num" w:pos="2439"/>
        </w:tabs>
        <w:ind w:left="2439" w:hanging="360"/>
      </w:pPr>
      <w:rPr>
        <w:rFonts w:hint="default" w:ascii="Arial" w:hAnsi="Arial"/>
      </w:rPr>
    </w:lvl>
    <w:lvl w:ilvl="3" w:tplc="07082974" w:tentative="1">
      <w:start w:val="1"/>
      <w:numFmt w:val="bullet"/>
      <w:lvlText w:val="•"/>
      <w:lvlJc w:val="left"/>
      <w:pPr>
        <w:tabs>
          <w:tab w:val="num" w:pos="3159"/>
        </w:tabs>
        <w:ind w:left="3159" w:hanging="360"/>
      </w:pPr>
      <w:rPr>
        <w:rFonts w:hint="default" w:ascii="Arial" w:hAnsi="Arial"/>
      </w:rPr>
    </w:lvl>
    <w:lvl w:ilvl="4" w:tplc="CD76DC7C" w:tentative="1">
      <w:start w:val="1"/>
      <w:numFmt w:val="bullet"/>
      <w:lvlText w:val="•"/>
      <w:lvlJc w:val="left"/>
      <w:pPr>
        <w:tabs>
          <w:tab w:val="num" w:pos="3879"/>
        </w:tabs>
        <w:ind w:left="3879" w:hanging="360"/>
      </w:pPr>
      <w:rPr>
        <w:rFonts w:hint="default" w:ascii="Arial" w:hAnsi="Arial"/>
      </w:rPr>
    </w:lvl>
    <w:lvl w:ilvl="5" w:tplc="3D28A6E6" w:tentative="1">
      <w:start w:val="1"/>
      <w:numFmt w:val="bullet"/>
      <w:lvlText w:val="•"/>
      <w:lvlJc w:val="left"/>
      <w:pPr>
        <w:tabs>
          <w:tab w:val="num" w:pos="4599"/>
        </w:tabs>
        <w:ind w:left="4599" w:hanging="360"/>
      </w:pPr>
      <w:rPr>
        <w:rFonts w:hint="default" w:ascii="Arial" w:hAnsi="Arial"/>
      </w:rPr>
    </w:lvl>
    <w:lvl w:ilvl="6" w:tplc="590A4E18" w:tentative="1">
      <w:start w:val="1"/>
      <w:numFmt w:val="bullet"/>
      <w:lvlText w:val="•"/>
      <w:lvlJc w:val="left"/>
      <w:pPr>
        <w:tabs>
          <w:tab w:val="num" w:pos="5319"/>
        </w:tabs>
        <w:ind w:left="5319" w:hanging="360"/>
      </w:pPr>
      <w:rPr>
        <w:rFonts w:hint="default" w:ascii="Arial" w:hAnsi="Arial"/>
      </w:rPr>
    </w:lvl>
    <w:lvl w:ilvl="7" w:tplc="56BA76D8" w:tentative="1">
      <w:start w:val="1"/>
      <w:numFmt w:val="bullet"/>
      <w:lvlText w:val="•"/>
      <w:lvlJc w:val="left"/>
      <w:pPr>
        <w:tabs>
          <w:tab w:val="num" w:pos="6039"/>
        </w:tabs>
        <w:ind w:left="6039" w:hanging="360"/>
      </w:pPr>
      <w:rPr>
        <w:rFonts w:hint="default" w:ascii="Arial" w:hAnsi="Arial"/>
      </w:rPr>
    </w:lvl>
    <w:lvl w:ilvl="8" w:tplc="D56AD64E" w:tentative="1">
      <w:start w:val="1"/>
      <w:numFmt w:val="bullet"/>
      <w:lvlText w:val="•"/>
      <w:lvlJc w:val="left"/>
      <w:pPr>
        <w:tabs>
          <w:tab w:val="num" w:pos="6759"/>
        </w:tabs>
        <w:ind w:left="6759" w:hanging="360"/>
      </w:pPr>
      <w:rPr>
        <w:rFonts w:hint="default" w:ascii="Arial" w:hAnsi="Arial"/>
      </w:rPr>
    </w:lvl>
  </w:abstractNum>
  <w:abstractNum w:abstractNumId="39" w15:restartNumberingAfterBreak="0">
    <w:nsid w:val="6535EF3A"/>
    <w:multiLevelType w:val="hybridMultilevel"/>
    <w:tmpl w:val="17FA2FCA"/>
    <w:lvl w:ilvl="0" w:tplc="DFE855C4">
      <w:start w:val="1"/>
      <w:numFmt w:val="lowerLetter"/>
      <w:lvlText w:val="b)"/>
      <w:lvlJc w:val="left"/>
      <w:pPr>
        <w:ind w:left="720" w:hanging="360"/>
      </w:pPr>
    </w:lvl>
    <w:lvl w:ilvl="1" w:tplc="A09AD1B4">
      <w:start w:val="1"/>
      <w:numFmt w:val="lowerLetter"/>
      <w:lvlText w:val="%2."/>
      <w:lvlJc w:val="left"/>
      <w:pPr>
        <w:ind w:left="1440" w:hanging="360"/>
      </w:pPr>
    </w:lvl>
    <w:lvl w:ilvl="2" w:tplc="A2284642">
      <w:start w:val="1"/>
      <w:numFmt w:val="lowerRoman"/>
      <w:lvlText w:val="%3."/>
      <w:lvlJc w:val="right"/>
      <w:pPr>
        <w:ind w:left="2160" w:hanging="180"/>
      </w:pPr>
    </w:lvl>
    <w:lvl w:ilvl="3" w:tplc="D9367544">
      <w:start w:val="1"/>
      <w:numFmt w:val="decimal"/>
      <w:lvlText w:val="%4."/>
      <w:lvlJc w:val="left"/>
      <w:pPr>
        <w:ind w:left="2880" w:hanging="360"/>
      </w:pPr>
    </w:lvl>
    <w:lvl w:ilvl="4" w:tplc="24C282FE">
      <w:start w:val="1"/>
      <w:numFmt w:val="lowerLetter"/>
      <w:lvlText w:val="%5."/>
      <w:lvlJc w:val="left"/>
      <w:pPr>
        <w:ind w:left="3600" w:hanging="360"/>
      </w:pPr>
    </w:lvl>
    <w:lvl w:ilvl="5" w:tplc="A946932E">
      <w:start w:val="1"/>
      <w:numFmt w:val="lowerRoman"/>
      <w:lvlText w:val="%6."/>
      <w:lvlJc w:val="right"/>
      <w:pPr>
        <w:ind w:left="4320" w:hanging="180"/>
      </w:pPr>
    </w:lvl>
    <w:lvl w:ilvl="6" w:tplc="CFEE533E">
      <w:start w:val="1"/>
      <w:numFmt w:val="decimal"/>
      <w:lvlText w:val="%7."/>
      <w:lvlJc w:val="left"/>
      <w:pPr>
        <w:ind w:left="5040" w:hanging="360"/>
      </w:pPr>
    </w:lvl>
    <w:lvl w:ilvl="7" w:tplc="CA62B0A6">
      <w:start w:val="1"/>
      <w:numFmt w:val="lowerLetter"/>
      <w:lvlText w:val="%8."/>
      <w:lvlJc w:val="left"/>
      <w:pPr>
        <w:ind w:left="5760" w:hanging="360"/>
      </w:pPr>
    </w:lvl>
    <w:lvl w:ilvl="8" w:tplc="7D3A780C">
      <w:start w:val="1"/>
      <w:numFmt w:val="lowerRoman"/>
      <w:lvlText w:val="%9."/>
      <w:lvlJc w:val="right"/>
      <w:pPr>
        <w:ind w:left="6480" w:hanging="180"/>
      </w:pPr>
    </w:lvl>
  </w:abstractNum>
  <w:abstractNum w:abstractNumId="40" w15:restartNumberingAfterBreak="0">
    <w:nsid w:val="65C86972"/>
    <w:multiLevelType w:val="hybridMultilevel"/>
    <w:tmpl w:val="EF60E5BA"/>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6AFA48A5"/>
    <w:multiLevelType w:val="hybridMultilevel"/>
    <w:tmpl w:val="3E2221D4"/>
    <w:lvl w:ilvl="0" w:tplc="0C0A0005">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074639D"/>
    <w:multiLevelType w:val="hybridMultilevel"/>
    <w:tmpl w:val="F692C1A2"/>
    <w:lvl w:ilvl="0" w:tplc="240A000D">
      <w:start w:val="1"/>
      <w:numFmt w:val="bullet"/>
      <w:lvlText w:val=""/>
      <w:lvlJc w:val="left"/>
      <w:pPr>
        <w:ind w:left="1500" w:hanging="360"/>
      </w:pPr>
      <w:rPr>
        <w:rFonts w:hint="default" w:ascii="Wingdings" w:hAnsi="Wingdings"/>
      </w:rPr>
    </w:lvl>
    <w:lvl w:ilvl="1" w:tplc="240A0003">
      <w:start w:val="1"/>
      <w:numFmt w:val="bullet"/>
      <w:lvlText w:val="o"/>
      <w:lvlJc w:val="left"/>
      <w:pPr>
        <w:ind w:left="2220" w:hanging="360"/>
      </w:pPr>
      <w:rPr>
        <w:rFonts w:hint="default" w:ascii="Courier New" w:hAnsi="Courier New" w:cs="Courier New"/>
      </w:rPr>
    </w:lvl>
    <w:lvl w:ilvl="2" w:tplc="240A0005">
      <w:start w:val="1"/>
      <w:numFmt w:val="bullet"/>
      <w:lvlText w:val=""/>
      <w:lvlJc w:val="left"/>
      <w:pPr>
        <w:ind w:left="2940" w:hanging="360"/>
      </w:pPr>
      <w:rPr>
        <w:rFonts w:hint="default" w:ascii="Wingdings" w:hAnsi="Wingdings"/>
      </w:rPr>
    </w:lvl>
    <w:lvl w:ilvl="3" w:tplc="240A0001">
      <w:start w:val="1"/>
      <w:numFmt w:val="bullet"/>
      <w:lvlText w:val=""/>
      <w:lvlJc w:val="left"/>
      <w:pPr>
        <w:ind w:left="3660" w:hanging="360"/>
      </w:pPr>
      <w:rPr>
        <w:rFonts w:hint="default" w:ascii="Symbol" w:hAnsi="Symbol"/>
      </w:rPr>
    </w:lvl>
    <w:lvl w:ilvl="4" w:tplc="240A0003">
      <w:start w:val="1"/>
      <w:numFmt w:val="bullet"/>
      <w:lvlText w:val="o"/>
      <w:lvlJc w:val="left"/>
      <w:pPr>
        <w:ind w:left="4380" w:hanging="360"/>
      </w:pPr>
      <w:rPr>
        <w:rFonts w:hint="default" w:ascii="Courier New" w:hAnsi="Courier New" w:cs="Courier New"/>
      </w:rPr>
    </w:lvl>
    <w:lvl w:ilvl="5" w:tplc="240A0005">
      <w:start w:val="1"/>
      <w:numFmt w:val="bullet"/>
      <w:lvlText w:val=""/>
      <w:lvlJc w:val="left"/>
      <w:pPr>
        <w:ind w:left="5100" w:hanging="360"/>
      </w:pPr>
      <w:rPr>
        <w:rFonts w:hint="default" w:ascii="Wingdings" w:hAnsi="Wingdings"/>
      </w:rPr>
    </w:lvl>
    <w:lvl w:ilvl="6" w:tplc="240A0001">
      <w:start w:val="1"/>
      <w:numFmt w:val="bullet"/>
      <w:lvlText w:val=""/>
      <w:lvlJc w:val="left"/>
      <w:pPr>
        <w:ind w:left="5820" w:hanging="360"/>
      </w:pPr>
      <w:rPr>
        <w:rFonts w:hint="default" w:ascii="Symbol" w:hAnsi="Symbol"/>
      </w:rPr>
    </w:lvl>
    <w:lvl w:ilvl="7" w:tplc="240A0003">
      <w:start w:val="1"/>
      <w:numFmt w:val="bullet"/>
      <w:lvlText w:val="o"/>
      <w:lvlJc w:val="left"/>
      <w:pPr>
        <w:ind w:left="6540" w:hanging="360"/>
      </w:pPr>
      <w:rPr>
        <w:rFonts w:hint="default" w:ascii="Courier New" w:hAnsi="Courier New" w:cs="Courier New"/>
      </w:rPr>
    </w:lvl>
    <w:lvl w:ilvl="8" w:tplc="240A0005">
      <w:start w:val="1"/>
      <w:numFmt w:val="bullet"/>
      <w:lvlText w:val=""/>
      <w:lvlJc w:val="left"/>
      <w:pPr>
        <w:ind w:left="7260" w:hanging="360"/>
      </w:pPr>
      <w:rPr>
        <w:rFonts w:hint="default" w:ascii="Wingdings" w:hAnsi="Wingdings"/>
      </w:rPr>
    </w:lvl>
  </w:abstractNum>
  <w:abstractNum w:abstractNumId="46"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6C2D983"/>
    <w:multiLevelType w:val="hybridMultilevel"/>
    <w:tmpl w:val="FFFFFFFF"/>
    <w:lvl w:ilvl="0" w:tplc="FC1C595A">
      <w:start w:val="1"/>
      <w:numFmt w:val="bullet"/>
      <w:lvlText w:val="-"/>
      <w:lvlJc w:val="left"/>
      <w:pPr>
        <w:ind w:left="720" w:hanging="360"/>
      </w:pPr>
      <w:rPr>
        <w:rFonts w:hint="default" w:ascii="Aptos" w:hAnsi="Aptos"/>
      </w:rPr>
    </w:lvl>
    <w:lvl w:ilvl="1" w:tplc="4372D9A4">
      <w:start w:val="1"/>
      <w:numFmt w:val="bullet"/>
      <w:lvlText w:val="o"/>
      <w:lvlJc w:val="left"/>
      <w:pPr>
        <w:ind w:left="1440" w:hanging="360"/>
      </w:pPr>
      <w:rPr>
        <w:rFonts w:hint="default" w:ascii="Courier New" w:hAnsi="Courier New"/>
      </w:rPr>
    </w:lvl>
    <w:lvl w:ilvl="2" w:tplc="E39A3910">
      <w:start w:val="1"/>
      <w:numFmt w:val="bullet"/>
      <w:lvlText w:val=""/>
      <w:lvlJc w:val="left"/>
      <w:pPr>
        <w:ind w:left="2160" w:hanging="360"/>
      </w:pPr>
      <w:rPr>
        <w:rFonts w:hint="default" w:ascii="Wingdings" w:hAnsi="Wingdings"/>
      </w:rPr>
    </w:lvl>
    <w:lvl w:ilvl="3" w:tplc="721AC8C8">
      <w:start w:val="1"/>
      <w:numFmt w:val="bullet"/>
      <w:lvlText w:val=""/>
      <w:lvlJc w:val="left"/>
      <w:pPr>
        <w:ind w:left="2880" w:hanging="360"/>
      </w:pPr>
      <w:rPr>
        <w:rFonts w:hint="default" w:ascii="Symbol" w:hAnsi="Symbol"/>
      </w:rPr>
    </w:lvl>
    <w:lvl w:ilvl="4" w:tplc="3C329688">
      <w:start w:val="1"/>
      <w:numFmt w:val="bullet"/>
      <w:lvlText w:val="o"/>
      <w:lvlJc w:val="left"/>
      <w:pPr>
        <w:ind w:left="3600" w:hanging="360"/>
      </w:pPr>
      <w:rPr>
        <w:rFonts w:hint="default" w:ascii="Courier New" w:hAnsi="Courier New"/>
      </w:rPr>
    </w:lvl>
    <w:lvl w:ilvl="5" w:tplc="5204D628">
      <w:start w:val="1"/>
      <w:numFmt w:val="bullet"/>
      <w:lvlText w:val=""/>
      <w:lvlJc w:val="left"/>
      <w:pPr>
        <w:ind w:left="4320" w:hanging="360"/>
      </w:pPr>
      <w:rPr>
        <w:rFonts w:hint="default" w:ascii="Wingdings" w:hAnsi="Wingdings"/>
      </w:rPr>
    </w:lvl>
    <w:lvl w:ilvl="6" w:tplc="4C12A5A4">
      <w:start w:val="1"/>
      <w:numFmt w:val="bullet"/>
      <w:lvlText w:val=""/>
      <w:lvlJc w:val="left"/>
      <w:pPr>
        <w:ind w:left="5040" w:hanging="360"/>
      </w:pPr>
      <w:rPr>
        <w:rFonts w:hint="default" w:ascii="Symbol" w:hAnsi="Symbol"/>
      </w:rPr>
    </w:lvl>
    <w:lvl w:ilvl="7" w:tplc="14EC22E8">
      <w:start w:val="1"/>
      <w:numFmt w:val="bullet"/>
      <w:lvlText w:val="o"/>
      <w:lvlJc w:val="left"/>
      <w:pPr>
        <w:ind w:left="5760" w:hanging="360"/>
      </w:pPr>
      <w:rPr>
        <w:rFonts w:hint="default" w:ascii="Courier New" w:hAnsi="Courier New"/>
      </w:rPr>
    </w:lvl>
    <w:lvl w:ilvl="8" w:tplc="80A8452A">
      <w:start w:val="1"/>
      <w:numFmt w:val="bullet"/>
      <w:lvlText w:val=""/>
      <w:lvlJc w:val="left"/>
      <w:pPr>
        <w:ind w:left="6480" w:hanging="360"/>
      </w:pPr>
      <w:rPr>
        <w:rFonts w:hint="default" w:ascii="Wingdings" w:hAnsi="Wingdings"/>
      </w:rPr>
    </w:lvl>
  </w:abstractNum>
  <w:abstractNum w:abstractNumId="48" w15:restartNumberingAfterBreak="0">
    <w:nsid w:val="7A7813B2"/>
    <w:multiLevelType w:val="hybridMultilevel"/>
    <w:tmpl w:val="C8E461B0"/>
    <w:lvl w:ilvl="0" w:tplc="A26EE73E">
      <w:numFmt w:val="bullet"/>
      <w:lvlText w:val="-"/>
      <w:lvlJc w:val="left"/>
      <w:pPr>
        <w:ind w:left="720" w:hanging="360"/>
      </w:pPr>
      <w:rPr>
        <w:rFonts w:hint="default" w:ascii="Calibri" w:hAnsi="Calibri" w:eastAsia="Calibri" w:cs="Calibri"/>
        <w:sz w:val="24"/>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680691995">
    <w:abstractNumId w:val="39"/>
  </w:num>
  <w:num w:numId="2" w16cid:durableId="653491686">
    <w:abstractNumId w:val="21"/>
  </w:num>
  <w:num w:numId="3" w16cid:durableId="1847743704">
    <w:abstractNumId w:val="12"/>
  </w:num>
  <w:num w:numId="4" w16cid:durableId="1570381999">
    <w:abstractNumId w:val="22"/>
  </w:num>
  <w:num w:numId="5" w16cid:durableId="1584340544">
    <w:abstractNumId w:val="47"/>
  </w:num>
  <w:num w:numId="6" w16cid:durableId="2002150149">
    <w:abstractNumId w:val="27"/>
  </w:num>
  <w:num w:numId="7" w16cid:durableId="698051210">
    <w:abstractNumId w:val="24"/>
  </w:num>
  <w:num w:numId="8" w16cid:durableId="670566780">
    <w:abstractNumId w:val="15"/>
  </w:num>
  <w:num w:numId="9" w16cid:durableId="9764210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8235821">
    <w:abstractNumId w:val="7"/>
  </w:num>
  <w:num w:numId="11" w16cid:durableId="1114012470">
    <w:abstractNumId w:val="42"/>
  </w:num>
  <w:num w:numId="12" w16cid:durableId="1495878750">
    <w:abstractNumId w:val="8"/>
  </w:num>
  <w:num w:numId="13" w16cid:durableId="557397461">
    <w:abstractNumId w:val="17"/>
  </w:num>
  <w:num w:numId="14" w16cid:durableId="1452363128">
    <w:abstractNumId w:val="35"/>
  </w:num>
  <w:num w:numId="15" w16cid:durableId="2077507905">
    <w:abstractNumId w:val="9"/>
  </w:num>
  <w:num w:numId="16" w16cid:durableId="723873387">
    <w:abstractNumId w:val="18"/>
  </w:num>
  <w:num w:numId="17" w16cid:durableId="1274945304">
    <w:abstractNumId w:val="6"/>
  </w:num>
  <w:num w:numId="18" w16cid:durableId="1682467277">
    <w:abstractNumId w:val="23"/>
  </w:num>
  <w:num w:numId="19" w16cid:durableId="295569971">
    <w:abstractNumId w:val="13"/>
  </w:num>
  <w:num w:numId="20" w16cid:durableId="2041587928">
    <w:abstractNumId w:val="36"/>
  </w:num>
  <w:num w:numId="21" w16cid:durableId="1143962759">
    <w:abstractNumId w:val="43"/>
  </w:num>
  <w:num w:numId="22" w16cid:durableId="1810778263">
    <w:abstractNumId w:val="44"/>
  </w:num>
  <w:num w:numId="23" w16cid:durableId="203448388">
    <w:abstractNumId w:val="1"/>
  </w:num>
  <w:num w:numId="24" w16cid:durableId="330059455">
    <w:abstractNumId w:val="25"/>
  </w:num>
  <w:num w:numId="25" w16cid:durableId="1056273102">
    <w:abstractNumId w:val="4"/>
  </w:num>
  <w:num w:numId="26" w16cid:durableId="1453358682">
    <w:abstractNumId w:val="28"/>
  </w:num>
  <w:num w:numId="27" w16cid:durableId="1318607125">
    <w:abstractNumId w:val="31"/>
  </w:num>
  <w:num w:numId="28" w16cid:durableId="1493982206">
    <w:abstractNumId w:val="0"/>
  </w:num>
  <w:num w:numId="29" w16cid:durableId="1404764881">
    <w:abstractNumId w:val="10"/>
  </w:num>
  <w:num w:numId="30" w16cid:durableId="1919055955">
    <w:abstractNumId w:val="20"/>
  </w:num>
  <w:num w:numId="31" w16cid:durableId="838869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4796250">
    <w:abstractNumId w:val="41"/>
  </w:num>
  <w:num w:numId="33" w16cid:durableId="1019695677">
    <w:abstractNumId w:val="11"/>
  </w:num>
  <w:num w:numId="34" w16cid:durableId="102964004">
    <w:abstractNumId w:val="33"/>
  </w:num>
  <w:num w:numId="35" w16cid:durableId="1155758818">
    <w:abstractNumId w:val="30"/>
  </w:num>
  <w:num w:numId="36" w16cid:durableId="2067606572">
    <w:abstractNumId w:val="45"/>
  </w:num>
  <w:num w:numId="37" w16cid:durableId="673649708">
    <w:abstractNumId w:val="48"/>
  </w:num>
  <w:num w:numId="38" w16cid:durableId="279722129">
    <w:abstractNumId w:val="26"/>
  </w:num>
  <w:num w:numId="39" w16cid:durableId="151995985">
    <w:abstractNumId w:val="40"/>
  </w:num>
  <w:num w:numId="40" w16cid:durableId="1907762944">
    <w:abstractNumId w:val="29"/>
  </w:num>
  <w:num w:numId="41" w16cid:durableId="299191416">
    <w:abstractNumId w:val="38"/>
  </w:num>
  <w:num w:numId="42" w16cid:durableId="525797091">
    <w:abstractNumId w:val="14"/>
  </w:num>
  <w:num w:numId="43" w16cid:durableId="467937655">
    <w:abstractNumId w:val="5"/>
  </w:num>
  <w:num w:numId="44" w16cid:durableId="966008284">
    <w:abstractNumId w:val="2"/>
  </w:num>
  <w:num w:numId="45" w16cid:durableId="1033503056">
    <w:abstractNumId w:val="32"/>
  </w:num>
  <w:num w:numId="46" w16cid:durableId="203366704">
    <w:abstractNumId w:val="37"/>
  </w:num>
  <w:num w:numId="47" w16cid:durableId="628248666">
    <w:abstractNumId w:val="16"/>
  </w:num>
  <w:num w:numId="48" w16cid:durableId="1310479933">
    <w:abstractNumId w:val="46"/>
  </w:num>
  <w:num w:numId="49" w16cid:durableId="1873301327">
    <w:abstractNumId w:val="19"/>
  </w:num>
  <w:num w:numId="50" w16cid:durableId="2075932516">
    <w:abstractNumId w:val="3"/>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B4A"/>
    <w:rsid w:val="00003D24"/>
    <w:rsid w:val="00006F83"/>
    <w:rsid w:val="00007F07"/>
    <w:rsid w:val="00011C5D"/>
    <w:rsid w:val="00013C42"/>
    <w:rsid w:val="00014D67"/>
    <w:rsid w:val="000156C6"/>
    <w:rsid w:val="00016A94"/>
    <w:rsid w:val="00021FCC"/>
    <w:rsid w:val="00024F34"/>
    <w:rsid w:val="0002546A"/>
    <w:rsid w:val="00032CBF"/>
    <w:rsid w:val="00040D08"/>
    <w:rsid w:val="000418D4"/>
    <w:rsid w:val="0004205E"/>
    <w:rsid w:val="00043659"/>
    <w:rsid w:val="000464B8"/>
    <w:rsid w:val="00047A6E"/>
    <w:rsid w:val="00050524"/>
    <w:rsid w:val="000526B7"/>
    <w:rsid w:val="00062B99"/>
    <w:rsid w:val="00066463"/>
    <w:rsid w:val="000703E4"/>
    <w:rsid w:val="0007636F"/>
    <w:rsid w:val="00081CEE"/>
    <w:rsid w:val="0008369A"/>
    <w:rsid w:val="00084B49"/>
    <w:rsid w:val="000857B0"/>
    <w:rsid w:val="00086B16"/>
    <w:rsid w:val="00092C0A"/>
    <w:rsid w:val="00094D9F"/>
    <w:rsid w:val="000A35DA"/>
    <w:rsid w:val="000A3E34"/>
    <w:rsid w:val="000B30A6"/>
    <w:rsid w:val="000B39C5"/>
    <w:rsid w:val="000B50F1"/>
    <w:rsid w:val="000C41BE"/>
    <w:rsid w:val="000C614C"/>
    <w:rsid w:val="000C6C52"/>
    <w:rsid w:val="000D1904"/>
    <w:rsid w:val="000D2025"/>
    <w:rsid w:val="000D2DA8"/>
    <w:rsid w:val="000D512E"/>
    <w:rsid w:val="000D7B5A"/>
    <w:rsid w:val="000E0152"/>
    <w:rsid w:val="000E1C6F"/>
    <w:rsid w:val="000E370D"/>
    <w:rsid w:val="000E42F9"/>
    <w:rsid w:val="000E65A4"/>
    <w:rsid w:val="000F5CE7"/>
    <w:rsid w:val="00105533"/>
    <w:rsid w:val="001072FB"/>
    <w:rsid w:val="00112EF1"/>
    <w:rsid w:val="00116659"/>
    <w:rsid w:val="001175AA"/>
    <w:rsid w:val="00125A34"/>
    <w:rsid w:val="00125A3A"/>
    <w:rsid w:val="00126916"/>
    <w:rsid w:val="00126980"/>
    <w:rsid w:val="001303DD"/>
    <w:rsid w:val="001348DA"/>
    <w:rsid w:val="001365B5"/>
    <w:rsid w:val="00136CD0"/>
    <w:rsid w:val="0013737F"/>
    <w:rsid w:val="0014009F"/>
    <w:rsid w:val="00142BF2"/>
    <w:rsid w:val="001447C1"/>
    <w:rsid w:val="00145BCA"/>
    <w:rsid w:val="001514D5"/>
    <w:rsid w:val="0015216F"/>
    <w:rsid w:val="00153523"/>
    <w:rsid w:val="0015748F"/>
    <w:rsid w:val="00157729"/>
    <w:rsid w:val="0015779C"/>
    <w:rsid w:val="00161272"/>
    <w:rsid w:val="00161A02"/>
    <w:rsid w:val="00164587"/>
    <w:rsid w:val="001665A3"/>
    <w:rsid w:val="00173095"/>
    <w:rsid w:val="001743EF"/>
    <w:rsid w:val="00174A31"/>
    <w:rsid w:val="00177232"/>
    <w:rsid w:val="00187186"/>
    <w:rsid w:val="001978EB"/>
    <w:rsid w:val="001A002E"/>
    <w:rsid w:val="001A2AF1"/>
    <w:rsid w:val="001C013E"/>
    <w:rsid w:val="001C4FC1"/>
    <w:rsid w:val="001D02B3"/>
    <w:rsid w:val="001D1743"/>
    <w:rsid w:val="001D17CF"/>
    <w:rsid w:val="001E1186"/>
    <w:rsid w:val="001E2543"/>
    <w:rsid w:val="001E2C11"/>
    <w:rsid w:val="001E37F0"/>
    <w:rsid w:val="001E6C60"/>
    <w:rsid w:val="001F238A"/>
    <w:rsid w:val="002171A2"/>
    <w:rsid w:val="002217D1"/>
    <w:rsid w:val="002264B8"/>
    <w:rsid w:val="00235361"/>
    <w:rsid w:val="00236F62"/>
    <w:rsid w:val="00237D76"/>
    <w:rsid w:val="00251FCE"/>
    <w:rsid w:val="00252F13"/>
    <w:rsid w:val="00254313"/>
    <w:rsid w:val="002565C7"/>
    <w:rsid w:val="0026359C"/>
    <w:rsid w:val="0026513E"/>
    <w:rsid w:val="002729A5"/>
    <w:rsid w:val="00277C2B"/>
    <w:rsid w:val="002819C2"/>
    <w:rsid w:val="002862C1"/>
    <w:rsid w:val="00286449"/>
    <w:rsid w:val="00287EC3"/>
    <w:rsid w:val="00293F29"/>
    <w:rsid w:val="002941D1"/>
    <w:rsid w:val="00297529"/>
    <w:rsid w:val="002A18A5"/>
    <w:rsid w:val="002A2A12"/>
    <w:rsid w:val="002B0B67"/>
    <w:rsid w:val="002B5285"/>
    <w:rsid w:val="002C05D0"/>
    <w:rsid w:val="002C6429"/>
    <w:rsid w:val="002D096D"/>
    <w:rsid w:val="002D11FE"/>
    <w:rsid w:val="002D2CB2"/>
    <w:rsid w:val="002D35EC"/>
    <w:rsid w:val="002D3FE3"/>
    <w:rsid w:val="002D5E8B"/>
    <w:rsid w:val="002E05F3"/>
    <w:rsid w:val="002E4A97"/>
    <w:rsid w:val="002E71C4"/>
    <w:rsid w:val="002F226A"/>
    <w:rsid w:val="00301DC2"/>
    <w:rsid w:val="00305588"/>
    <w:rsid w:val="003106AE"/>
    <w:rsid w:val="0032015D"/>
    <w:rsid w:val="003211DB"/>
    <w:rsid w:val="003227FD"/>
    <w:rsid w:val="00325A55"/>
    <w:rsid w:val="003343DB"/>
    <w:rsid w:val="00336655"/>
    <w:rsid w:val="00342B3C"/>
    <w:rsid w:val="00344C5A"/>
    <w:rsid w:val="00346554"/>
    <w:rsid w:val="003503EB"/>
    <w:rsid w:val="00350767"/>
    <w:rsid w:val="00350E4B"/>
    <w:rsid w:val="003533A1"/>
    <w:rsid w:val="003650D5"/>
    <w:rsid w:val="003651DE"/>
    <w:rsid w:val="00366F75"/>
    <w:rsid w:val="00367A31"/>
    <w:rsid w:val="00367CB8"/>
    <w:rsid w:val="003711C0"/>
    <w:rsid w:val="00373197"/>
    <w:rsid w:val="0037581F"/>
    <w:rsid w:val="00375BFA"/>
    <w:rsid w:val="0038390A"/>
    <w:rsid w:val="00392DAF"/>
    <w:rsid w:val="003A0BBF"/>
    <w:rsid w:val="003A3C08"/>
    <w:rsid w:val="003A6449"/>
    <w:rsid w:val="003A73D2"/>
    <w:rsid w:val="003B3F46"/>
    <w:rsid w:val="003B4DDE"/>
    <w:rsid w:val="003B625C"/>
    <w:rsid w:val="003B6F12"/>
    <w:rsid w:val="003C0C28"/>
    <w:rsid w:val="003C0F32"/>
    <w:rsid w:val="003C2580"/>
    <w:rsid w:val="003C6CAC"/>
    <w:rsid w:val="003D3516"/>
    <w:rsid w:val="003D3E55"/>
    <w:rsid w:val="003D67D3"/>
    <w:rsid w:val="003E1394"/>
    <w:rsid w:val="003E582F"/>
    <w:rsid w:val="00401B59"/>
    <w:rsid w:val="00405CE5"/>
    <w:rsid w:val="00410779"/>
    <w:rsid w:val="0041604F"/>
    <w:rsid w:val="00416865"/>
    <w:rsid w:val="00427DD9"/>
    <w:rsid w:val="004317DB"/>
    <w:rsid w:val="00432C5C"/>
    <w:rsid w:val="00437C19"/>
    <w:rsid w:val="00441D93"/>
    <w:rsid w:val="0044535F"/>
    <w:rsid w:val="00455B68"/>
    <w:rsid w:val="00461D1F"/>
    <w:rsid w:val="0046422D"/>
    <w:rsid w:val="00470148"/>
    <w:rsid w:val="00470526"/>
    <w:rsid w:val="004724CB"/>
    <w:rsid w:val="004848A4"/>
    <w:rsid w:val="004965F6"/>
    <w:rsid w:val="004A0755"/>
    <w:rsid w:val="004A2DE9"/>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57B6"/>
    <w:rsid w:val="004F685E"/>
    <w:rsid w:val="004F70A9"/>
    <w:rsid w:val="004F778E"/>
    <w:rsid w:val="004F7A38"/>
    <w:rsid w:val="00500D07"/>
    <w:rsid w:val="0050148F"/>
    <w:rsid w:val="00502F91"/>
    <w:rsid w:val="00520AAA"/>
    <w:rsid w:val="00520B2A"/>
    <w:rsid w:val="005338E4"/>
    <w:rsid w:val="0054286C"/>
    <w:rsid w:val="00543E5A"/>
    <w:rsid w:val="00545A32"/>
    <w:rsid w:val="0054645F"/>
    <w:rsid w:val="005475A8"/>
    <w:rsid w:val="00551C90"/>
    <w:rsid w:val="0055444C"/>
    <w:rsid w:val="005616ED"/>
    <w:rsid w:val="005629D0"/>
    <w:rsid w:val="00564A4E"/>
    <w:rsid w:val="005716CB"/>
    <w:rsid w:val="005815B6"/>
    <w:rsid w:val="00584E85"/>
    <w:rsid w:val="005871DA"/>
    <w:rsid w:val="00587695"/>
    <w:rsid w:val="0059054D"/>
    <w:rsid w:val="0059316B"/>
    <w:rsid w:val="005949A8"/>
    <w:rsid w:val="005A077D"/>
    <w:rsid w:val="005A4320"/>
    <w:rsid w:val="005A498D"/>
    <w:rsid w:val="005A5C3B"/>
    <w:rsid w:val="005A6B50"/>
    <w:rsid w:val="005C19CA"/>
    <w:rsid w:val="005C4522"/>
    <w:rsid w:val="005C6726"/>
    <w:rsid w:val="005D49BF"/>
    <w:rsid w:val="005E233F"/>
    <w:rsid w:val="005F30C3"/>
    <w:rsid w:val="005F7863"/>
    <w:rsid w:val="0060353B"/>
    <w:rsid w:val="00612013"/>
    <w:rsid w:val="00620876"/>
    <w:rsid w:val="00624FD0"/>
    <w:rsid w:val="00630C5E"/>
    <w:rsid w:val="006315B4"/>
    <w:rsid w:val="00635AC3"/>
    <w:rsid w:val="00636FFB"/>
    <w:rsid w:val="00652FFF"/>
    <w:rsid w:val="00654CCF"/>
    <w:rsid w:val="00663A1E"/>
    <w:rsid w:val="00665F82"/>
    <w:rsid w:val="0066767A"/>
    <w:rsid w:val="0067186C"/>
    <w:rsid w:val="00671E11"/>
    <w:rsid w:val="00673105"/>
    <w:rsid w:val="006738E9"/>
    <w:rsid w:val="00673C81"/>
    <w:rsid w:val="006754FF"/>
    <w:rsid w:val="006779DA"/>
    <w:rsid w:val="00687EB3"/>
    <w:rsid w:val="00692980"/>
    <w:rsid w:val="00692F01"/>
    <w:rsid w:val="00693246"/>
    <w:rsid w:val="006946AD"/>
    <w:rsid w:val="0069506F"/>
    <w:rsid w:val="006954B0"/>
    <w:rsid w:val="00696582"/>
    <w:rsid w:val="00696E13"/>
    <w:rsid w:val="006A1DBB"/>
    <w:rsid w:val="006B4E40"/>
    <w:rsid w:val="006B76F1"/>
    <w:rsid w:val="006C103A"/>
    <w:rsid w:val="006C4E6A"/>
    <w:rsid w:val="006C50E8"/>
    <w:rsid w:val="006D10FA"/>
    <w:rsid w:val="006D464D"/>
    <w:rsid w:val="006E6F11"/>
    <w:rsid w:val="006F0B6B"/>
    <w:rsid w:val="006F144D"/>
    <w:rsid w:val="006F1DCD"/>
    <w:rsid w:val="006F461B"/>
    <w:rsid w:val="006F622C"/>
    <w:rsid w:val="00700FF6"/>
    <w:rsid w:val="00704D44"/>
    <w:rsid w:val="00710227"/>
    <w:rsid w:val="00715A68"/>
    <w:rsid w:val="00715DD5"/>
    <w:rsid w:val="00715ECF"/>
    <w:rsid w:val="00716282"/>
    <w:rsid w:val="00717A04"/>
    <w:rsid w:val="00717BFE"/>
    <w:rsid w:val="007208C5"/>
    <w:rsid w:val="007221B7"/>
    <w:rsid w:val="00725BB4"/>
    <w:rsid w:val="0073180A"/>
    <w:rsid w:val="00732997"/>
    <w:rsid w:val="007336C3"/>
    <w:rsid w:val="00735033"/>
    <w:rsid w:val="00747B24"/>
    <w:rsid w:val="007527DF"/>
    <w:rsid w:val="00756485"/>
    <w:rsid w:val="0075705D"/>
    <w:rsid w:val="007626E1"/>
    <w:rsid w:val="00767F65"/>
    <w:rsid w:val="00770D6C"/>
    <w:rsid w:val="007820BC"/>
    <w:rsid w:val="00783515"/>
    <w:rsid w:val="00787C94"/>
    <w:rsid w:val="00791BCB"/>
    <w:rsid w:val="007921BD"/>
    <w:rsid w:val="00793A02"/>
    <w:rsid w:val="00795C6B"/>
    <w:rsid w:val="007A1566"/>
    <w:rsid w:val="007A3995"/>
    <w:rsid w:val="007A5AC5"/>
    <w:rsid w:val="007A6194"/>
    <w:rsid w:val="007B622D"/>
    <w:rsid w:val="007C4288"/>
    <w:rsid w:val="007C484E"/>
    <w:rsid w:val="007D4853"/>
    <w:rsid w:val="007D57C4"/>
    <w:rsid w:val="007E0429"/>
    <w:rsid w:val="007E41DE"/>
    <w:rsid w:val="007E4CE3"/>
    <w:rsid w:val="007E6237"/>
    <w:rsid w:val="007F2B1F"/>
    <w:rsid w:val="00802F7A"/>
    <w:rsid w:val="00804A95"/>
    <w:rsid w:val="00805A45"/>
    <w:rsid w:val="00806A1C"/>
    <w:rsid w:val="0080773A"/>
    <w:rsid w:val="008173F3"/>
    <w:rsid w:val="008176A4"/>
    <w:rsid w:val="0082092A"/>
    <w:rsid w:val="0082117C"/>
    <w:rsid w:val="008227E9"/>
    <w:rsid w:val="008252C5"/>
    <w:rsid w:val="00831860"/>
    <w:rsid w:val="00832F2D"/>
    <w:rsid w:val="00836C6A"/>
    <w:rsid w:val="0084156B"/>
    <w:rsid w:val="00841C9F"/>
    <w:rsid w:val="0084294E"/>
    <w:rsid w:val="00843EFF"/>
    <w:rsid w:val="008442A5"/>
    <w:rsid w:val="008477A9"/>
    <w:rsid w:val="0085416A"/>
    <w:rsid w:val="00856B0F"/>
    <w:rsid w:val="00866658"/>
    <w:rsid w:val="0087186A"/>
    <w:rsid w:val="00872C56"/>
    <w:rsid w:val="008738C6"/>
    <w:rsid w:val="00874F67"/>
    <w:rsid w:val="00876AC2"/>
    <w:rsid w:val="00883F43"/>
    <w:rsid w:val="00884C98"/>
    <w:rsid w:val="00884CE2"/>
    <w:rsid w:val="00885E7D"/>
    <w:rsid w:val="0089006F"/>
    <w:rsid w:val="008905C8"/>
    <w:rsid w:val="0089363F"/>
    <w:rsid w:val="00894D05"/>
    <w:rsid w:val="00895298"/>
    <w:rsid w:val="00896ED8"/>
    <w:rsid w:val="008A209D"/>
    <w:rsid w:val="008A2436"/>
    <w:rsid w:val="008A4E8C"/>
    <w:rsid w:val="008A563D"/>
    <w:rsid w:val="008B1443"/>
    <w:rsid w:val="008B3B0A"/>
    <w:rsid w:val="008B5E6B"/>
    <w:rsid w:val="008B6E57"/>
    <w:rsid w:val="008C2BA0"/>
    <w:rsid w:val="008C67FE"/>
    <w:rsid w:val="008C69F2"/>
    <w:rsid w:val="008C703D"/>
    <w:rsid w:val="008D1D44"/>
    <w:rsid w:val="008D3E6C"/>
    <w:rsid w:val="008E04EC"/>
    <w:rsid w:val="008E43F4"/>
    <w:rsid w:val="008F3D2E"/>
    <w:rsid w:val="008F42F6"/>
    <w:rsid w:val="008F5282"/>
    <w:rsid w:val="009011A3"/>
    <w:rsid w:val="00901BDB"/>
    <w:rsid w:val="00901C0F"/>
    <w:rsid w:val="00907463"/>
    <w:rsid w:val="009110EC"/>
    <w:rsid w:val="00912BAC"/>
    <w:rsid w:val="00925058"/>
    <w:rsid w:val="00926CDB"/>
    <w:rsid w:val="00930113"/>
    <w:rsid w:val="009356EC"/>
    <w:rsid w:val="00937FB2"/>
    <w:rsid w:val="00940D55"/>
    <w:rsid w:val="0094114F"/>
    <w:rsid w:val="00955F42"/>
    <w:rsid w:val="0095690D"/>
    <w:rsid w:val="009609C5"/>
    <w:rsid w:val="00965B1A"/>
    <w:rsid w:val="00971448"/>
    <w:rsid w:val="00971B57"/>
    <w:rsid w:val="00973208"/>
    <w:rsid w:val="00976933"/>
    <w:rsid w:val="00981893"/>
    <w:rsid w:val="00984974"/>
    <w:rsid w:val="00986438"/>
    <w:rsid w:val="00987DBF"/>
    <w:rsid w:val="009970F9"/>
    <w:rsid w:val="009A5590"/>
    <w:rsid w:val="009C3837"/>
    <w:rsid w:val="009C44BD"/>
    <w:rsid w:val="009C537F"/>
    <w:rsid w:val="009D0585"/>
    <w:rsid w:val="009D19FD"/>
    <w:rsid w:val="009D2BB3"/>
    <w:rsid w:val="009D6326"/>
    <w:rsid w:val="009E0846"/>
    <w:rsid w:val="009E1EF4"/>
    <w:rsid w:val="009E1F32"/>
    <w:rsid w:val="009E24BA"/>
    <w:rsid w:val="009E4896"/>
    <w:rsid w:val="009E4BD5"/>
    <w:rsid w:val="009E6CBE"/>
    <w:rsid w:val="009F1BE0"/>
    <w:rsid w:val="009F7CED"/>
    <w:rsid w:val="00A003B9"/>
    <w:rsid w:val="00A034EB"/>
    <w:rsid w:val="00A04569"/>
    <w:rsid w:val="00A0736A"/>
    <w:rsid w:val="00A07DE7"/>
    <w:rsid w:val="00A101C9"/>
    <w:rsid w:val="00A120D6"/>
    <w:rsid w:val="00A1301A"/>
    <w:rsid w:val="00A14C37"/>
    <w:rsid w:val="00A161B9"/>
    <w:rsid w:val="00A219D7"/>
    <w:rsid w:val="00A22F0F"/>
    <w:rsid w:val="00A26A06"/>
    <w:rsid w:val="00A2785C"/>
    <w:rsid w:val="00A27D3B"/>
    <w:rsid w:val="00A33DCF"/>
    <w:rsid w:val="00A377FE"/>
    <w:rsid w:val="00A40521"/>
    <w:rsid w:val="00A4128C"/>
    <w:rsid w:val="00A41AEF"/>
    <w:rsid w:val="00A43E80"/>
    <w:rsid w:val="00A447B3"/>
    <w:rsid w:val="00A464FF"/>
    <w:rsid w:val="00A467CE"/>
    <w:rsid w:val="00A500DD"/>
    <w:rsid w:val="00A51883"/>
    <w:rsid w:val="00A52C3F"/>
    <w:rsid w:val="00A52FE8"/>
    <w:rsid w:val="00A55DB6"/>
    <w:rsid w:val="00A603C8"/>
    <w:rsid w:val="00A61784"/>
    <w:rsid w:val="00A62113"/>
    <w:rsid w:val="00A64120"/>
    <w:rsid w:val="00A72973"/>
    <w:rsid w:val="00A73B61"/>
    <w:rsid w:val="00A74AFD"/>
    <w:rsid w:val="00A80613"/>
    <w:rsid w:val="00A83A98"/>
    <w:rsid w:val="00A85AEA"/>
    <w:rsid w:val="00A94019"/>
    <w:rsid w:val="00AA28E8"/>
    <w:rsid w:val="00AB0708"/>
    <w:rsid w:val="00AB0C45"/>
    <w:rsid w:val="00AB6652"/>
    <w:rsid w:val="00AC1AF8"/>
    <w:rsid w:val="00AC447D"/>
    <w:rsid w:val="00AD31AE"/>
    <w:rsid w:val="00AD5446"/>
    <w:rsid w:val="00AD623F"/>
    <w:rsid w:val="00AD7EAC"/>
    <w:rsid w:val="00AE03F3"/>
    <w:rsid w:val="00AE6FF0"/>
    <w:rsid w:val="00AF1492"/>
    <w:rsid w:val="00AF569A"/>
    <w:rsid w:val="00AF5E71"/>
    <w:rsid w:val="00B01FCA"/>
    <w:rsid w:val="00B021CE"/>
    <w:rsid w:val="00B13AE3"/>
    <w:rsid w:val="00B237AC"/>
    <w:rsid w:val="00B25550"/>
    <w:rsid w:val="00B30DCD"/>
    <w:rsid w:val="00B377D3"/>
    <w:rsid w:val="00B4178F"/>
    <w:rsid w:val="00B4216E"/>
    <w:rsid w:val="00B448DC"/>
    <w:rsid w:val="00B463AC"/>
    <w:rsid w:val="00B51095"/>
    <w:rsid w:val="00B6123C"/>
    <w:rsid w:val="00B61CA6"/>
    <w:rsid w:val="00B61CC8"/>
    <w:rsid w:val="00B631E6"/>
    <w:rsid w:val="00B65F1B"/>
    <w:rsid w:val="00B66D03"/>
    <w:rsid w:val="00B7000F"/>
    <w:rsid w:val="00B729FC"/>
    <w:rsid w:val="00B73EC6"/>
    <w:rsid w:val="00B74117"/>
    <w:rsid w:val="00B766E4"/>
    <w:rsid w:val="00B80D74"/>
    <w:rsid w:val="00B8326D"/>
    <w:rsid w:val="00B84AF8"/>
    <w:rsid w:val="00B9191B"/>
    <w:rsid w:val="00B937B6"/>
    <w:rsid w:val="00BA2545"/>
    <w:rsid w:val="00BA450F"/>
    <w:rsid w:val="00BB50EA"/>
    <w:rsid w:val="00BB545F"/>
    <w:rsid w:val="00BD239A"/>
    <w:rsid w:val="00BD4B65"/>
    <w:rsid w:val="00BE280C"/>
    <w:rsid w:val="00BF054E"/>
    <w:rsid w:val="00BF0DB9"/>
    <w:rsid w:val="00BF4D45"/>
    <w:rsid w:val="00BF67E9"/>
    <w:rsid w:val="00BF8B5B"/>
    <w:rsid w:val="00C00239"/>
    <w:rsid w:val="00C05EA9"/>
    <w:rsid w:val="00C10EE9"/>
    <w:rsid w:val="00C12B93"/>
    <w:rsid w:val="00C134C3"/>
    <w:rsid w:val="00C23B9C"/>
    <w:rsid w:val="00C2408F"/>
    <w:rsid w:val="00C24E42"/>
    <w:rsid w:val="00C26C14"/>
    <w:rsid w:val="00C27D76"/>
    <w:rsid w:val="00C31D59"/>
    <w:rsid w:val="00C36892"/>
    <w:rsid w:val="00C3762F"/>
    <w:rsid w:val="00C4009A"/>
    <w:rsid w:val="00C401C2"/>
    <w:rsid w:val="00C43BD2"/>
    <w:rsid w:val="00C462CE"/>
    <w:rsid w:val="00C46330"/>
    <w:rsid w:val="00C47F73"/>
    <w:rsid w:val="00C52E86"/>
    <w:rsid w:val="00C601EC"/>
    <w:rsid w:val="00C6077B"/>
    <w:rsid w:val="00C61441"/>
    <w:rsid w:val="00C66C40"/>
    <w:rsid w:val="00C7294E"/>
    <w:rsid w:val="00C76779"/>
    <w:rsid w:val="00C91F90"/>
    <w:rsid w:val="00CA2A8F"/>
    <w:rsid w:val="00CA57DF"/>
    <w:rsid w:val="00CB0063"/>
    <w:rsid w:val="00CB4D37"/>
    <w:rsid w:val="00CB66F7"/>
    <w:rsid w:val="00CC0C62"/>
    <w:rsid w:val="00CC259C"/>
    <w:rsid w:val="00CC42D1"/>
    <w:rsid w:val="00CC51DC"/>
    <w:rsid w:val="00CC5B3E"/>
    <w:rsid w:val="00CD727D"/>
    <w:rsid w:val="00CE0A25"/>
    <w:rsid w:val="00CE1A87"/>
    <w:rsid w:val="00CE2195"/>
    <w:rsid w:val="00CF25EF"/>
    <w:rsid w:val="00D04A96"/>
    <w:rsid w:val="00D05B67"/>
    <w:rsid w:val="00D05D52"/>
    <w:rsid w:val="00D24980"/>
    <w:rsid w:val="00D24A10"/>
    <w:rsid w:val="00D26D53"/>
    <w:rsid w:val="00D27B41"/>
    <w:rsid w:val="00D30133"/>
    <w:rsid w:val="00D31F43"/>
    <w:rsid w:val="00D40E59"/>
    <w:rsid w:val="00D415E6"/>
    <w:rsid w:val="00D444C5"/>
    <w:rsid w:val="00D45D54"/>
    <w:rsid w:val="00D530DC"/>
    <w:rsid w:val="00D54ADE"/>
    <w:rsid w:val="00D62023"/>
    <w:rsid w:val="00D625FD"/>
    <w:rsid w:val="00D7070F"/>
    <w:rsid w:val="00D709DD"/>
    <w:rsid w:val="00D80A92"/>
    <w:rsid w:val="00D8294A"/>
    <w:rsid w:val="00D83F98"/>
    <w:rsid w:val="00D84A75"/>
    <w:rsid w:val="00D85F90"/>
    <w:rsid w:val="00D86AD5"/>
    <w:rsid w:val="00D90649"/>
    <w:rsid w:val="00D91E89"/>
    <w:rsid w:val="00D9213D"/>
    <w:rsid w:val="00D965B1"/>
    <w:rsid w:val="00D97DF9"/>
    <w:rsid w:val="00D97F1C"/>
    <w:rsid w:val="00DA6526"/>
    <w:rsid w:val="00DA6C54"/>
    <w:rsid w:val="00DB72AC"/>
    <w:rsid w:val="00DC2B08"/>
    <w:rsid w:val="00DC54A3"/>
    <w:rsid w:val="00DD181C"/>
    <w:rsid w:val="00DD2F2C"/>
    <w:rsid w:val="00DD48D9"/>
    <w:rsid w:val="00DE1540"/>
    <w:rsid w:val="00DE520C"/>
    <w:rsid w:val="00DE5383"/>
    <w:rsid w:val="00DF1E66"/>
    <w:rsid w:val="00DF60FD"/>
    <w:rsid w:val="00DF6410"/>
    <w:rsid w:val="00E007F7"/>
    <w:rsid w:val="00E0174F"/>
    <w:rsid w:val="00E05F18"/>
    <w:rsid w:val="00E06A27"/>
    <w:rsid w:val="00E12202"/>
    <w:rsid w:val="00E20331"/>
    <w:rsid w:val="00E211FB"/>
    <w:rsid w:val="00E233B5"/>
    <w:rsid w:val="00E242C5"/>
    <w:rsid w:val="00E243E8"/>
    <w:rsid w:val="00E24673"/>
    <w:rsid w:val="00E24F26"/>
    <w:rsid w:val="00E261B4"/>
    <w:rsid w:val="00E31E85"/>
    <w:rsid w:val="00E407FF"/>
    <w:rsid w:val="00E40857"/>
    <w:rsid w:val="00E40C34"/>
    <w:rsid w:val="00E41E2C"/>
    <w:rsid w:val="00E44207"/>
    <w:rsid w:val="00E4529E"/>
    <w:rsid w:val="00E66C57"/>
    <w:rsid w:val="00E66D00"/>
    <w:rsid w:val="00E710CD"/>
    <w:rsid w:val="00E7224C"/>
    <w:rsid w:val="00E729F2"/>
    <w:rsid w:val="00E75DBD"/>
    <w:rsid w:val="00E805D3"/>
    <w:rsid w:val="00E80826"/>
    <w:rsid w:val="00E84DA1"/>
    <w:rsid w:val="00E91332"/>
    <w:rsid w:val="00EA3045"/>
    <w:rsid w:val="00EC1DE8"/>
    <w:rsid w:val="00EC35AE"/>
    <w:rsid w:val="00EC467F"/>
    <w:rsid w:val="00EC4C1B"/>
    <w:rsid w:val="00ED4708"/>
    <w:rsid w:val="00EE0D69"/>
    <w:rsid w:val="00EE0F26"/>
    <w:rsid w:val="00EE2ABB"/>
    <w:rsid w:val="00EF192B"/>
    <w:rsid w:val="00F06B8A"/>
    <w:rsid w:val="00F07A7D"/>
    <w:rsid w:val="00F11163"/>
    <w:rsid w:val="00F153C1"/>
    <w:rsid w:val="00F16839"/>
    <w:rsid w:val="00F211E7"/>
    <w:rsid w:val="00F21D37"/>
    <w:rsid w:val="00F221F0"/>
    <w:rsid w:val="00F26136"/>
    <w:rsid w:val="00F2713B"/>
    <w:rsid w:val="00F305D8"/>
    <w:rsid w:val="00F37106"/>
    <w:rsid w:val="00F44A2E"/>
    <w:rsid w:val="00F47AE1"/>
    <w:rsid w:val="00F47D57"/>
    <w:rsid w:val="00F526E4"/>
    <w:rsid w:val="00F55DC4"/>
    <w:rsid w:val="00F576B3"/>
    <w:rsid w:val="00F63AD4"/>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B3667"/>
    <w:rsid w:val="00FB6AA5"/>
    <w:rsid w:val="00FC0522"/>
    <w:rsid w:val="00FC2DE3"/>
    <w:rsid w:val="00FC7131"/>
    <w:rsid w:val="00FD3D04"/>
    <w:rsid w:val="00FD49A0"/>
    <w:rsid w:val="00FD4CD7"/>
    <w:rsid w:val="00FE27DE"/>
    <w:rsid w:val="00FE2D84"/>
    <w:rsid w:val="00FF0DCB"/>
    <w:rsid w:val="00FF66CA"/>
    <w:rsid w:val="00FF7492"/>
    <w:rsid w:val="0129D7D9"/>
    <w:rsid w:val="01A9B203"/>
    <w:rsid w:val="01C26F8B"/>
    <w:rsid w:val="029C05DC"/>
    <w:rsid w:val="032E93F2"/>
    <w:rsid w:val="05DA84E1"/>
    <w:rsid w:val="0690A48C"/>
    <w:rsid w:val="0705BCCE"/>
    <w:rsid w:val="07E3FF25"/>
    <w:rsid w:val="0B3D03C7"/>
    <w:rsid w:val="0C271553"/>
    <w:rsid w:val="0C2A2072"/>
    <w:rsid w:val="0D15B8EE"/>
    <w:rsid w:val="0D928BA3"/>
    <w:rsid w:val="0DA7D947"/>
    <w:rsid w:val="0DD2FB8D"/>
    <w:rsid w:val="0E021276"/>
    <w:rsid w:val="0F1D4184"/>
    <w:rsid w:val="0FEBE899"/>
    <w:rsid w:val="11BD39CC"/>
    <w:rsid w:val="12B8F43A"/>
    <w:rsid w:val="12BFCF50"/>
    <w:rsid w:val="1557413D"/>
    <w:rsid w:val="15ED5C02"/>
    <w:rsid w:val="16608F77"/>
    <w:rsid w:val="16986BE6"/>
    <w:rsid w:val="16DA42A2"/>
    <w:rsid w:val="178F7876"/>
    <w:rsid w:val="19E87865"/>
    <w:rsid w:val="1A495CF2"/>
    <w:rsid w:val="1AF15CBE"/>
    <w:rsid w:val="1B0AF8DB"/>
    <w:rsid w:val="1C82483C"/>
    <w:rsid w:val="1F039C39"/>
    <w:rsid w:val="1F233BCE"/>
    <w:rsid w:val="2003DBC2"/>
    <w:rsid w:val="205CED14"/>
    <w:rsid w:val="20E7AEDD"/>
    <w:rsid w:val="21265A59"/>
    <w:rsid w:val="24B1CE9B"/>
    <w:rsid w:val="24D10B17"/>
    <w:rsid w:val="259320FB"/>
    <w:rsid w:val="262F5D6A"/>
    <w:rsid w:val="26DA1B01"/>
    <w:rsid w:val="27818CAD"/>
    <w:rsid w:val="29316E54"/>
    <w:rsid w:val="2B9D079C"/>
    <w:rsid w:val="2C28E270"/>
    <w:rsid w:val="2DC0580D"/>
    <w:rsid w:val="2DDCAE7E"/>
    <w:rsid w:val="2DE035DD"/>
    <w:rsid w:val="2DEAC534"/>
    <w:rsid w:val="2EC627F5"/>
    <w:rsid w:val="3071AC8C"/>
    <w:rsid w:val="31744525"/>
    <w:rsid w:val="3204DB8F"/>
    <w:rsid w:val="33597497"/>
    <w:rsid w:val="3466E039"/>
    <w:rsid w:val="34C41BC4"/>
    <w:rsid w:val="358F4CFD"/>
    <w:rsid w:val="35B5B2A7"/>
    <w:rsid w:val="361505BF"/>
    <w:rsid w:val="38BD1CEB"/>
    <w:rsid w:val="38F9BDB1"/>
    <w:rsid w:val="394BE0CA"/>
    <w:rsid w:val="3A79645C"/>
    <w:rsid w:val="3AD2A0CD"/>
    <w:rsid w:val="3B74B6F9"/>
    <w:rsid w:val="3BD3E69C"/>
    <w:rsid w:val="3BEE2C69"/>
    <w:rsid w:val="3C654795"/>
    <w:rsid w:val="3C6F2736"/>
    <w:rsid w:val="3CBFE54C"/>
    <w:rsid w:val="3D9070E4"/>
    <w:rsid w:val="3DFC96BB"/>
    <w:rsid w:val="3EBFDEF3"/>
    <w:rsid w:val="3EF18B3C"/>
    <w:rsid w:val="3FC718E7"/>
    <w:rsid w:val="413D28D8"/>
    <w:rsid w:val="4165B703"/>
    <w:rsid w:val="42BA7F3D"/>
    <w:rsid w:val="443430FE"/>
    <w:rsid w:val="46605BB4"/>
    <w:rsid w:val="46C42FC3"/>
    <w:rsid w:val="47B730E8"/>
    <w:rsid w:val="47BF6491"/>
    <w:rsid w:val="484CB744"/>
    <w:rsid w:val="496D91EA"/>
    <w:rsid w:val="4A64DD16"/>
    <w:rsid w:val="4A9B4646"/>
    <w:rsid w:val="4B1B9EB0"/>
    <w:rsid w:val="4B21D671"/>
    <w:rsid w:val="4D45AACB"/>
    <w:rsid w:val="4D697007"/>
    <w:rsid w:val="4DD6DE3B"/>
    <w:rsid w:val="4DED845D"/>
    <w:rsid w:val="4E1CFBEF"/>
    <w:rsid w:val="4E24D2D9"/>
    <w:rsid w:val="4E5B2337"/>
    <w:rsid w:val="5028B008"/>
    <w:rsid w:val="5118E1B4"/>
    <w:rsid w:val="5119DFD1"/>
    <w:rsid w:val="5173853D"/>
    <w:rsid w:val="5209A632"/>
    <w:rsid w:val="52B0A142"/>
    <w:rsid w:val="52BEB098"/>
    <w:rsid w:val="54A69ED9"/>
    <w:rsid w:val="54BE4FA0"/>
    <w:rsid w:val="56361153"/>
    <w:rsid w:val="57788366"/>
    <w:rsid w:val="57B9EB78"/>
    <w:rsid w:val="58340187"/>
    <w:rsid w:val="58CD90EE"/>
    <w:rsid w:val="5A65664E"/>
    <w:rsid w:val="5B6B4A6A"/>
    <w:rsid w:val="5D0CD392"/>
    <w:rsid w:val="5D1DA439"/>
    <w:rsid w:val="5D2C8867"/>
    <w:rsid w:val="5D8BEB1A"/>
    <w:rsid w:val="5F77ACD6"/>
    <w:rsid w:val="5FF0E531"/>
    <w:rsid w:val="60602CEE"/>
    <w:rsid w:val="61133BE1"/>
    <w:rsid w:val="615E8B74"/>
    <w:rsid w:val="61B26C59"/>
    <w:rsid w:val="622D3A0D"/>
    <w:rsid w:val="624CA0AD"/>
    <w:rsid w:val="62885058"/>
    <w:rsid w:val="6379F522"/>
    <w:rsid w:val="6399CB0B"/>
    <w:rsid w:val="63CC942D"/>
    <w:rsid w:val="63CFC303"/>
    <w:rsid w:val="64CB052C"/>
    <w:rsid w:val="653E1DD8"/>
    <w:rsid w:val="6772E6C6"/>
    <w:rsid w:val="67D21907"/>
    <w:rsid w:val="69A814DA"/>
    <w:rsid w:val="6A5650FB"/>
    <w:rsid w:val="6B866681"/>
    <w:rsid w:val="6C5E3551"/>
    <w:rsid w:val="6C682B2B"/>
    <w:rsid w:val="6CF7788D"/>
    <w:rsid w:val="6DAF4080"/>
    <w:rsid w:val="6DCAADC3"/>
    <w:rsid w:val="6DD62130"/>
    <w:rsid w:val="6EB2884D"/>
    <w:rsid w:val="6EEC79FD"/>
    <w:rsid w:val="6EF5E22A"/>
    <w:rsid w:val="6FCE46C2"/>
    <w:rsid w:val="702D5C2E"/>
    <w:rsid w:val="70F2CE53"/>
    <w:rsid w:val="716C241A"/>
    <w:rsid w:val="72D5C114"/>
    <w:rsid w:val="73BF6D9D"/>
    <w:rsid w:val="744C007B"/>
    <w:rsid w:val="75028E91"/>
    <w:rsid w:val="75FD0D4E"/>
    <w:rsid w:val="764D20DA"/>
    <w:rsid w:val="77C38906"/>
    <w:rsid w:val="780E39A3"/>
    <w:rsid w:val="79686AAF"/>
    <w:rsid w:val="79B89E8C"/>
    <w:rsid w:val="7A0A8D56"/>
    <w:rsid w:val="7A6BFBA7"/>
    <w:rsid w:val="7B27D6E0"/>
    <w:rsid w:val="7B2F57B9"/>
    <w:rsid w:val="7BCA128D"/>
    <w:rsid w:val="7C99E112"/>
    <w:rsid w:val="7CFBE70E"/>
    <w:rsid w:val="7D220B2D"/>
    <w:rsid w:val="7D760FF5"/>
    <w:rsid w:val="7D997820"/>
    <w:rsid w:val="7F258B9B"/>
    <w:rsid w:val="7F32E1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291E3D6E-9919-440B-8951-565D447844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21" w:customStyle="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styleId="Textoindependiente31" w:customStyle="1">
    <w:name w:val="Texto independiente 31"/>
    <w:basedOn w:val="Normal"/>
    <w:pPr>
      <w:widowControl w:val="0"/>
      <w:overflowPunct w:val="0"/>
      <w:autoSpaceDE w:val="0"/>
      <w:autoSpaceDN w:val="0"/>
      <w:adjustRightInd w:val="0"/>
      <w:jc w:val="both"/>
      <w:textAlignment w:val="baseline"/>
    </w:pPr>
    <w:rPr>
      <w:b/>
      <w:sz w:val="24"/>
      <w:lang w:val="es-CO"/>
    </w:rPr>
  </w:style>
  <w:style w:type="character" w:styleId="InitialStyle" w:customStyle="1">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hAnsi="Arial Unicode MS" w:eastAsia="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styleId="Listavistosa-nfasis11" w:customStyle="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styleId="Default" w:customStyle="1">
    <w:name w:val="Default"/>
    <w:rsid w:val="00DF1E66"/>
    <w:pPr>
      <w:autoSpaceDE w:val="0"/>
      <w:autoSpaceDN w:val="0"/>
      <w:adjustRightInd w:val="0"/>
    </w:pPr>
    <w:rPr>
      <w:rFonts w:ascii="Arial" w:hAnsi="Arial" w:cs="Arial"/>
      <w:color w:val="000000"/>
      <w:sz w:val="24"/>
      <w:szCs w:val="24"/>
    </w:rPr>
  </w:style>
  <w:style w:type="paragraph" w:styleId="Cuerpo" w:customStyle="1">
    <w:name w:val="Cuerpo"/>
    <w:rsid w:val="00DF1E66"/>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PiedepginaCar" w:customStyle="1">
    <w:name w:val="Pie de página Car"/>
    <w:link w:val="Piedepgina"/>
    <w:uiPriority w:val="99"/>
    <w:rsid w:val="00B4178F"/>
    <w:rPr>
      <w:rFonts w:ascii="Arial" w:hAnsi="Arial"/>
      <w:lang w:val="es-ES" w:eastAsia="es-ES"/>
    </w:rPr>
  </w:style>
  <w:style w:type="paragraph" w:styleId="xmsonormal" w:customStyle="1">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styleId="xmsolistparagraph" w:customStyle="1">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styleId="apple-converted-space" w:customStyle="1">
    <w:name w:val="apple-converted-space"/>
    <w:basedOn w:val="Fuentedeprrafopredeter"/>
    <w:rsid w:val="00715DD5"/>
  </w:style>
  <w:style w:type="paragraph" w:styleId="xcuerpo" w:customStyle="1">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hAnsi="Times" w:eastAsia="Times"/>
      <w:lang w:val="en-US"/>
    </w:rPr>
  </w:style>
  <w:style w:type="character" w:styleId="TextonotapieCar" w:customStyle="1">
    <w:name w:val="Texto nota pie Car"/>
    <w:link w:val="Textonotapie"/>
    <w:uiPriority w:val="99"/>
    <w:rsid w:val="00925058"/>
    <w:rPr>
      <w:rFonts w:ascii="Times" w:hAnsi="Times" w:eastAsia="Times"/>
      <w:lang w:val="en-US" w:eastAsia="es-ES"/>
    </w:rPr>
  </w:style>
  <w:style w:type="character" w:styleId="Refdenotaalpie">
    <w:name w:val="footnote reference"/>
    <w:uiPriority w:val="99"/>
    <w:rsid w:val="00925058"/>
    <w:rPr>
      <w:vertAlign w:val="superscript"/>
    </w:rPr>
  </w:style>
  <w:style w:type="paragraph" w:styleId="Cuadrculamedia21" w:customStyle="1">
    <w:name w:val="Cuadrícula media 21"/>
    <w:qFormat/>
    <w:rsid w:val="00236F62"/>
    <w:rPr>
      <w:rFonts w:ascii="Calibri" w:hAnsi="Calibri" w:eastAsia="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styleId="TtuloCar" w:customStyle="1">
    <w:name w:val="Título Car"/>
    <w:link w:val="Ttulo"/>
    <w:rsid w:val="00AE03F3"/>
    <w:rPr>
      <w:rFonts w:ascii="Arial" w:hAnsi="Arial" w:cs="Arial"/>
      <w:b/>
      <w:bCs/>
      <w:sz w:val="32"/>
      <w:szCs w:val="24"/>
      <w:lang w:val="es-ES" w:eastAsia="es-ES"/>
    </w:rPr>
  </w:style>
  <w:style w:type="character" w:styleId="Listavistosa-nfasis1Car" w:customStyle="1">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rsid w:val="003650D5"/>
  </w:style>
  <w:style w:type="paragraph" w:styleId="Prrafodelista">
    <w:name w:val="List Paragraph"/>
    <w:basedOn w:val="Normal"/>
    <w:uiPriority w:val="34"/>
    <w:qFormat/>
    <w:rsid w:val="7B27D6E0"/>
    <w:pPr>
      <w:ind w:left="720"/>
      <w:contextualSpacing/>
    </w:pPr>
  </w:style>
  <w:style w:type="paragraph" w:styleId="Revisin">
    <w:name w:val="Revision"/>
    <w:hidden/>
    <w:uiPriority w:val="71"/>
    <w:rsid w:val="00011C5D"/>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ormograma.mintic.gov.co/mintic/compilacion/docs/decreto_1419_2020.ht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2.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3.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4.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dafp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oficina de sistemas</dc:creator>
  <keywords/>
  <dc:description/>
  <lastModifiedBy>Julieth Alejandra Sepulveda Penaloza</lastModifiedBy>
  <revision>134</revision>
  <lastPrinted>2019-07-09T02:30:00.0000000Z</lastPrinted>
  <dcterms:created xsi:type="dcterms:W3CDTF">2025-10-11T00:56:00.0000000Z</dcterms:created>
  <dcterms:modified xsi:type="dcterms:W3CDTF">2025-12-02T23:39:17.9657232Z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