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910A2B" w:rsidRPr="00CE0417"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CE0417" w:rsidRDefault="00795C6B" w:rsidP="002264B8">
            <w:pPr>
              <w:pStyle w:val="Ttulo2"/>
              <w:ind w:right="72"/>
              <w:jc w:val="left"/>
              <w:rPr>
                <w:rFonts w:cs="Arial"/>
                <w:bCs/>
                <w:sz w:val="22"/>
                <w:szCs w:val="22"/>
              </w:rPr>
            </w:pPr>
            <w:r w:rsidRPr="00CE0417">
              <w:rPr>
                <w:rFonts w:cs="Arial"/>
                <w:sz w:val="22"/>
                <w:szCs w:val="22"/>
                <w:lang w:val="es-CO"/>
              </w:rPr>
              <w:t>Entidad</w:t>
            </w:r>
            <w:r w:rsidR="00086B16" w:rsidRPr="00CE0417">
              <w:rPr>
                <w:rFonts w:cs="Arial"/>
                <w:sz w:val="22"/>
                <w:szCs w:val="22"/>
                <w:lang w:val="es-CO"/>
              </w:rPr>
              <w:t xml:space="preserve"> </w:t>
            </w:r>
            <w:r w:rsidRPr="00CE0417">
              <w:rPr>
                <w:rFonts w:cs="Arial"/>
                <w:sz w:val="22"/>
                <w:szCs w:val="22"/>
                <w:lang w:val="es-CO"/>
              </w:rPr>
              <w:t>originadora</w:t>
            </w:r>
            <w:r w:rsidR="00293F29" w:rsidRPr="00CE0417">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5E236BFF" w:rsidR="0026513E" w:rsidRPr="00F931B0" w:rsidRDefault="004A3187" w:rsidP="00795C6B">
            <w:pPr>
              <w:pStyle w:val="Ttulo2"/>
              <w:ind w:left="72" w:right="72"/>
              <w:jc w:val="left"/>
              <w:rPr>
                <w:rFonts w:cs="Arial"/>
                <w:b w:val="0"/>
                <w:sz w:val="22"/>
                <w:szCs w:val="22"/>
              </w:rPr>
            </w:pPr>
            <w:r w:rsidRPr="00F931B0">
              <w:rPr>
                <w:rFonts w:cs="Arial"/>
                <w:b w:val="0"/>
                <w:sz w:val="22"/>
                <w:szCs w:val="22"/>
              </w:rPr>
              <w:t>Dirección de Industria de Comunicaciones</w:t>
            </w:r>
          </w:p>
        </w:tc>
      </w:tr>
      <w:tr w:rsidR="00910A2B" w:rsidRPr="00CE0417" w14:paraId="53D25FCD" w14:textId="77777777" w:rsidTr="00F931B0">
        <w:trPr>
          <w:trHeight w:val="790"/>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CE0417" w:rsidRDefault="0026513E" w:rsidP="002264B8">
            <w:pPr>
              <w:pStyle w:val="Ttulo2"/>
              <w:ind w:right="72"/>
              <w:jc w:val="left"/>
              <w:rPr>
                <w:rFonts w:cs="Arial"/>
                <w:bCs/>
                <w:sz w:val="22"/>
                <w:szCs w:val="22"/>
              </w:rPr>
            </w:pPr>
            <w:r w:rsidRPr="00CE0417">
              <w:rPr>
                <w:rFonts w:cs="Arial"/>
                <w:bCs/>
                <w:sz w:val="22"/>
                <w:szCs w:val="22"/>
              </w:rPr>
              <w:t>Fecha</w:t>
            </w:r>
            <w:r w:rsidR="00BB545F" w:rsidRPr="00CE0417">
              <w:rPr>
                <w:rFonts w:cs="Arial"/>
                <w:bCs/>
                <w:sz w:val="22"/>
                <w:szCs w:val="22"/>
              </w:rPr>
              <w:t xml:space="preserve"> (dd/mm/aa)</w:t>
            </w:r>
            <w:r w:rsidR="00293F29" w:rsidRPr="00CE0417">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09B77565" w:rsidR="00C47F73" w:rsidRPr="00CE0417" w:rsidRDefault="0045526E" w:rsidP="005F30C3">
            <w:pPr>
              <w:pStyle w:val="Ttulo2"/>
              <w:ind w:left="72" w:right="72"/>
              <w:jc w:val="left"/>
              <w:rPr>
                <w:rFonts w:cs="Arial"/>
                <w:b w:val="0"/>
                <w:sz w:val="22"/>
                <w:szCs w:val="22"/>
              </w:rPr>
            </w:pPr>
            <w:r w:rsidRPr="00F931B0">
              <w:rPr>
                <w:rFonts w:cs="Arial"/>
                <w:b w:val="0"/>
                <w:sz w:val="22"/>
                <w:szCs w:val="22"/>
              </w:rPr>
              <w:t>25/11/2025</w:t>
            </w:r>
          </w:p>
        </w:tc>
      </w:tr>
      <w:tr w:rsidR="00910A2B" w:rsidRPr="00CE0417"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CE0417" w:rsidRDefault="00A55DB6" w:rsidP="002264B8">
            <w:pPr>
              <w:pStyle w:val="Ttulo2"/>
              <w:ind w:right="72"/>
              <w:jc w:val="left"/>
              <w:rPr>
                <w:rFonts w:cs="Arial"/>
                <w:bCs/>
                <w:sz w:val="22"/>
                <w:szCs w:val="22"/>
              </w:rPr>
            </w:pPr>
            <w:r w:rsidRPr="00CE0417">
              <w:rPr>
                <w:rFonts w:cs="Arial"/>
                <w:bCs/>
                <w:sz w:val="22"/>
                <w:szCs w:val="22"/>
              </w:rPr>
              <w:t xml:space="preserve">Proyecto de </w:t>
            </w:r>
            <w:r w:rsidR="00587695" w:rsidRPr="00CE0417">
              <w:rPr>
                <w:rFonts w:cs="Arial"/>
                <w:bCs/>
                <w:sz w:val="22"/>
                <w:szCs w:val="22"/>
              </w:rPr>
              <w:t>D</w:t>
            </w:r>
            <w:r w:rsidRPr="00CE0417">
              <w:rPr>
                <w:rFonts w:cs="Arial"/>
                <w:bCs/>
                <w:sz w:val="22"/>
                <w:szCs w:val="22"/>
              </w:rPr>
              <w:t>ecreto</w:t>
            </w:r>
            <w:r w:rsidR="00795C6B" w:rsidRPr="00CE0417">
              <w:rPr>
                <w:rFonts w:cs="Arial"/>
                <w:bCs/>
                <w:sz w:val="22"/>
                <w:szCs w:val="22"/>
              </w:rPr>
              <w:t>/Resolución</w:t>
            </w:r>
            <w:r w:rsidR="00293F29" w:rsidRPr="00CE0417">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4136248" w14:textId="3EB68E33" w:rsidR="001F238A" w:rsidRPr="00CE0417" w:rsidRDefault="004A3187" w:rsidP="005F30C3">
            <w:pPr>
              <w:pStyle w:val="Ttulo2"/>
              <w:ind w:left="72" w:right="72"/>
              <w:jc w:val="left"/>
              <w:rPr>
                <w:rFonts w:cs="Arial"/>
                <w:spacing w:val="-3"/>
                <w:sz w:val="22"/>
                <w:szCs w:val="22"/>
              </w:rPr>
            </w:pPr>
            <w:r w:rsidRPr="00F931B0">
              <w:rPr>
                <w:rFonts w:cs="Arial"/>
                <w:b w:val="0"/>
                <w:sz w:val="22"/>
                <w:szCs w:val="22"/>
              </w:rPr>
              <w:t>“Por la cual se adopta la Política Pública de Gestión de Espectro 2025 - 2029”</w:t>
            </w:r>
          </w:p>
        </w:tc>
      </w:tr>
      <w:tr w:rsidR="00910A2B" w:rsidRPr="00CE0417"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CE0417" w:rsidRDefault="006315B4" w:rsidP="0075705D">
            <w:pPr>
              <w:autoSpaceDE w:val="0"/>
              <w:autoSpaceDN w:val="0"/>
              <w:adjustRightInd w:val="0"/>
              <w:jc w:val="both"/>
              <w:rPr>
                <w:rFonts w:eastAsia="Calibri" w:cs="Arial"/>
                <w:sz w:val="22"/>
                <w:szCs w:val="22"/>
                <w:lang w:val="es-CO" w:eastAsia="en-US"/>
              </w:rPr>
            </w:pPr>
          </w:p>
          <w:p w14:paraId="23A54342" w14:textId="77777777" w:rsidR="0095690D" w:rsidRPr="00CE0417" w:rsidRDefault="0095690D" w:rsidP="0075705D">
            <w:pPr>
              <w:numPr>
                <w:ilvl w:val="0"/>
                <w:numId w:val="44"/>
              </w:numPr>
              <w:ind w:left="494"/>
              <w:rPr>
                <w:rFonts w:cs="Arial"/>
                <w:b/>
                <w:sz w:val="22"/>
                <w:szCs w:val="22"/>
                <w:lang w:val="es-CO"/>
              </w:rPr>
            </w:pPr>
            <w:r w:rsidRPr="00CE0417">
              <w:rPr>
                <w:rFonts w:cs="Arial"/>
                <w:b/>
                <w:sz w:val="22"/>
                <w:szCs w:val="22"/>
                <w:lang w:val="es-CO"/>
              </w:rPr>
              <w:t>ANTECEDENTES Y RAZONES DE OPORTUNIDAD Y CONVENIENCIA QUE JUSTIFICAN SU EXPEDICIÓN.</w:t>
            </w:r>
          </w:p>
          <w:p w14:paraId="309D9CD3" w14:textId="77777777" w:rsidR="004A3187" w:rsidRPr="004A633E" w:rsidRDefault="004A3187" w:rsidP="004A3187">
            <w:pPr>
              <w:pStyle w:val="Listavistosa-nfasis11"/>
              <w:spacing w:line="240" w:lineRule="auto"/>
              <w:ind w:left="494"/>
              <w:jc w:val="both"/>
              <w:rPr>
                <w:rFonts w:ascii="Arial" w:hAnsi="Arial" w:cs="Arial"/>
              </w:rPr>
            </w:pPr>
          </w:p>
          <w:p w14:paraId="38CA9708" w14:textId="53B54875" w:rsidR="00705918" w:rsidRPr="00F931B0" w:rsidRDefault="00705918" w:rsidP="00705918">
            <w:pPr>
              <w:pStyle w:val="Listavistosa-nfasis11"/>
              <w:spacing w:line="240" w:lineRule="auto"/>
              <w:ind w:left="494"/>
              <w:jc w:val="both"/>
              <w:rPr>
                <w:rFonts w:ascii="Arial" w:hAnsi="Arial" w:cs="Arial"/>
              </w:rPr>
            </w:pPr>
            <w:r w:rsidRPr="004A633E">
              <w:rPr>
                <w:rFonts w:ascii="Arial" w:hAnsi="Arial" w:cs="Arial"/>
              </w:rPr>
              <w:t xml:space="preserve">Desde el 2010 </w:t>
            </w:r>
            <w:r w:rsidR="00D774A5" w:rsidRPr="004A633E">
              <w:rPr>
                <w:rFonts w:ascii="Arial" w:hAnsi="Arial" w:cs="Arial"/>
              </w:rPr>
              <w:t xml:space="preserve">desde el sector TIC </w:t>
            </w:r>
            <w:r w:rsidRPr="004A633E">
              <w:rPr>
                <w:rFonts w:ascii="Arial" w:hAnsi="Arial" w:cs="Arial"/>
              </w:rPr>
              <w:t xml:space="preserve">se ha </w:t>
            </w:r>
            <w:r w:rsidRPr="00F931B0">
              <w:rPr>
                <w:rFonts w:ascii="Arial" w:hAnsi="Arial" w:cs="Arial"/>
              </w:rPr>
              <w:t xml:space="preserve">trabajado en la formulación de diversos instrumentos de política pública para la gestión del espectro. Sin embargo, en Colombia aún se identifican necesidades a nivel del conocimiento de la demanda del espectro, de los mecanismos de asignación y de la participación activa en escenarios internacionales para las concertaciones técnicas, también se conocen oportunidades de mejoras en gestión, vigilancia y control del espectro a partir del desarrollo de herramientas apoyadas en sistemas de información y tecnologías emergentes.  </w:t>
            </w:r>
          </w:p>
          <w:p w14:paraId="44010BA7" w14:textId="77777777" w:rsidR="00B91E77" w:rsidRPr="00F931B0" w:rsidRDefault="00B91E77" w:rsidP="004A3187">
            <w:pPr>
              <w:pStyle w:val="Listavistosa-nfasis11"/>
              <w:spacing w:line="240" w:lineRule="auto"/>
              <w:ind w:left="494"/>
              <w:jc w:val="both"/>
              <w:rPr>
                <w:rFonts w:ascii="Arial" w:hAnsi="Arial" w:cs="Arial"/>
              </w:rPr>
            </w:pPr>
          </w:p>
          <w:p w14:paraId="005EC350" w14:textId="6F3449D3" w:rsidR="004A3187" w:rsidRPr="00F931B0" w:rsidRDefault="004A3187" w:rsidP="004A3187">
            <w:pPr>
              <w:pStyle w:val="Listavistosa-nfasis11"/>
              <w:spacing w:line="240" w:lineRule="auto"/>
              <w:ind w:left="494"/>
              <w:jc w:val="both"/>
              <w:rPr>
                <w:rFonts w:ascii="Arial" w:hAnsi="Arial" w:cs="Arial"/>
              </w:rPr>
            </w:pPr>
            <w:r w:rsidRPr="00F931B0">
              <w:rPr>
                <w:rFonts w:ascii="Arial" w:hAnsi="Arial" w:cs="Arial"/>
              </w:rPr>
              <w:t>El documento de “Actualización de estadísticas de banda ancha – 2024” (broadband statistics update -2024) afirma que los hacedores de política requieren de una brújula para navegar las múltiples consideraciones de política que confluyen en la gestión de espectro radioeléctrico. En este caso la Política Pública de Gestión de Espectro 2025-2029.</w:t>
            </w:r>
          </w:p>
          <w:p w14:paraId="5802688D" w14:textId="77777777" w:rsidR="004A3187" w:rsidRPr="00F931B0" w:rsidRDefault="004A3187" w:rsidP="004A3187">
            <w:pPr>
              <w:pStyle w:val="Listavistosa-nfasis11"/>
              <w:spacing w:line="240" w:lineRule="auto"/>
              <w:ind w:left="494"/>
              <w:jc w:val="both"/>
              <w:rPr>
                <w:rFonts w:ascii="Arial" w:hAnsi="Arial" w:cs="Arial"/>
              </w:rPr>
            </w:pPr>
          </w:p>
          <w:p w14:paraId="4CD27D53" w14:textId="69401048" w:rsidR="002E4A97" w:rsidRPr="00F931B0" w:rsidRDefault="00D301DC" w:rsidP="00CD6040">
            <w:pPr>
              <w:pStyle w:val="Listavistosa-nfasis11"/>
              <w:spacing w:line="240" w:lineRule="auto"/>
              <w:ind w:left="494"/>
              <w:jc w:val="both"/>
              <w:rPr>
                <w:rFonts w:ascii="Arial" w:hAnsi="Arial" w:cs="Arial"/>
              </w:rPr>
            </w:pPr>
            <w:r w:rsidRPr="00F931B0">
              <w:rPr>
                <w:rFonts w:ascii="Arial" w:hAnsi="Arial" w:cs="Arial"/>
              </w:rPr>
              <w:t>L</w:t>
            </w:r>
            <w:r w:rsidR="004A3187" w:rsidRPr="00F931B0">
              <w:rPr>
                <w:rFonts w:ascii="Arial" w:hAnsi="Arial" w:cs="Arial"/>
              </w:rPr>
              <w:t>a política de</w:t>
            </w:r>
            <w:r w:rsidR="00E97A8B" w:rsidRPr="00F931B0">
              <w:rPr>
                <w:rFonts w:ascii="Arial" w:hAnsi="Arial" w:cs="Arial"/>
              </w:rPr>
              <w:t xml:space="preserve"> Gestión de</w:t>
            </w:r>
            <w:r w:rsidR="004A3187" w:rsidRPr="00F931B0">
              <w:rPr>
                <w:rFonts w:ascii="Arial" w:hAnsi="Arial" w:cs="Arial"/>
              </w:rPr>
              <w:t xml:space="preserve"> </w:t>
            </w:r>
            <w:r w:rsidR="00E97A8B" w:rsidRPr="00F931B0">
              <w:rPr>
                <w:rFonts w:ascii="Arial" w:hAnsi="Arial" w:cs="Arial"/>
              </w:rPr>
              <w:t>E</w:t>
            </w:r>
            <w:r w:rsidR="004A3187" w:rsidRPr="00F931B0">
              <w:rPr>
                <w:rFonts w:ascii="Arial" w:hAnsi="Arial" w:cs="Arial"/>
              </w:rPr>
              <w:t xml:space="preserve">spectro 2025-2029 se trata de un documento que </w:t>
            </w:r>
            <w:r w:rsidR="00D6264D" w:rsidRPr="00F931B0">
              <w:rPr>
                <w:rFonts w:ascii="Arial" w:hAnsi="Arial" w:cs="Arial"/>
              </w:rPr>
              <w:t xml:space="preserve">establece </w:t>
            </w:r>
            <w:r w:rsidR="004A3187" w:rsidRPr="00F931B0">
              <w:rPr>
                <w:rFonts w:ascii="Arial" w:hAnsi="Arial" w:cs="Arial"/>
              </w:rPr>
              <w:t>un detalle orientativo para reforzar la normativa de mayor nivel establecida</w:t>
            </w:r>
            <w:r w:rsidR="000E3147" w:rsidRPr="00F931B0">
              <w:rPr>
                <w:rFonts w:ascii="Arial" w:hAnsi="Arial" w:cs="Arial"/>
              </w:rPr>
              <w:t xml:space="preserve"> y se adopta por resolución </w:t>
            </w:r>
            <w:r w:rsidR="00E72C2B" w:rsidRPr="00F931B0">
              <w:rPr>
                <w:rFonts w:ascii="Arial" w:hAnsi="Arial" w:cs="Arial"/>
              </w:rPr>
              <w:t>para tener</w:t>
            </w:r>
            <w:r w:rsidR="004A3187" w:rsidRPr="00F931B0">
              <w:rPr>
                <w:rFonts w:ascii="Arial" w:hAnsi="Arial" w:cs="Arial"/>
              </w:rPr>
              <w:t xml:space="preserve"> flexibilidad</w:t>
            </w:r>
            <w:r w:rsidR="00E72C2B" w:rsidRPr="00F931B0">
              <w:rPr>
                <w:rFonts w:ascii="Arial" w:hAnsi="Arial" w:cs="Arial"/>
              </w:rPr>
              <w:t xml:space="preserve"> y </w:t>
            </w:r>
            <w:r w:rsidR="004A3187" w:rsidRPr="00F931B0">
              <w:rPr>
                <w:rFonts w:ascii="Arial" w:hAnsi="Arial" w:cs="Arial"/>
              </w:rPr>
              <w:t>oportunidad</w:t>
            </w:r>
            <w:r w:rsidR="00E72C2B" w:rsidRPr="00F931B0">
              <w:rPr>
                <w:rFonts w:ascii="Arial" w:hAnsi="Arial" w:cs="Arial"/>
              </w:rPr>
              <w:t xml:space="preserve"> de ser actualizada periódicamente. </w:t>
            </w:r>
            <w:r w:rsidR="00F931B0">
              <w:rPr>
                <w:rFonts w:ascii="Arial" w:hAnsi="Arial" w:cs="Arial"/>
              </w:rPr>
              <w:t>M</w:t>
            </w:r>
            <w:r w:rsidR="00F931B0" w:rsidRPr="00F931B0">
              <w:rPr>
                <w:rFonts w:ascii="Arial" w:hAnsi="Arial" w:cs="Arial"/>
              </w:rPr>
              <w:t>ediante Resolución 2759 de 2020</w:t>
            </w:r>
            <w:r w:rsidR="00F931B0">
              <w:rPr>
                <w:rFonts w:ascii="Arial" w:hAnsi="Arial" w:cs="Arial"/>
              </w:rPr>
              <w:t xml:space="preserve"> </w:t>
            </w:r>
            <w:r w:rsidR="008807D0">
              <w:rPr>
                <w:rFonts w:ascii="Arial" w:hAnsi="Arial" w:cs="Arial"/>
              </w:rPr>
              <w:t>e</w:t>
            </w:r>
            <w:r w:rsidR="00F3061F" w:rsidRPr="00F931B0">
              <w:rPr>
                <w:rFonts w:ascii="Arial" w:hAnsi="Arial" w:cs="Arial"/>
              </w:rPr>
              <w:t xml:space="preserve">l MinTIC </w:t>
            </w:r>
            <w:r w:rsidR="0048771D" w:rsidRPr="00F931B0">
              <w:rPr>
                <w:rFonts w:ascii="Arial" w:hAnsi="Arial" w:cs="Arial"/>
              </w:rPr>
              <w:t>adopt</w:t>
            </w:r>
            <w:r w:rsidR="005F2DC3" w:rsidRPr="00F931B0">
              <w:rPr>
                <w:rFonts w:ascii="Arial" w:hAnsi="Arial" w:cs="Arial"/>
              </w:rPr>
              <w:t>ó</w:t>
            </w:r>
            <w:r w:rsidR="0048771D" w:rsidRPr="00F931B0">
              <w:rPr>
                <w:rFonts w:ascii="Arial" w:hAnsi="Arial" w:cs="Arial"/>
              </w:rPr>
              <w:t xml:space="preserve"> l</w:t>
            </w:r>
            <w:r w:rsidR="00F3061F" w:rsidRPr="00F931B0">
              <w:rPr>
                <w:rFonts w:ascii="Arial" w:hAnsi="Arial" w:cs="Arial"/>
              </w:rPr>
              <w:t xml:space="preserve">a </w:t>
            </w:r>
            <w:r w:rsidR="0024044A" w:rsidRPr="00F931B0">
              <w:rPr>
                <w:rFonts w:ascii="Arial" w:hAnsi="Arial" w:cs="Arial"/>
              </w:rPr>
              <w:t>Política de Espectro 2020-2024</w:t>
            </w:r>
            <w:r w:rsidR="008807D0">
              <w:rPr>
                <w:rFonts w:ascii="Arial" w:hAnsi="Arial" w:cs="Arial"/>
              </w:rPr>
              <w:t xml:space="preserve"> cuyo periodo de ejecución ha finalizado.</w:t>
            </w:r>
            <w:r w:rsidR="00F3061F" w:rsidRPr="00F931B0">
              <w:rPr>
                <w:rFonts w:ascii="Arial" w:hAnsi="Arial" w:cs="Arial"/>
              </w:rPr>
              <w:t xml:space="preserve"> </w:t>
            </w:r>
            <w:r w:rsidR="00C02CF3" w:rsidRPr="00C02CF3">
              <w:rPr>
                <w:rFonts w:ascii="Arial" w:hAnsi="Arial" w:cs="Arial"/>
              </w:rPr>
              <w:t>A partir de los resultados de dicha política pública y teniendo en cuenta las tendencias y mejores prácticas internacionales en gestión de espectro se identifican nuevas necesidades que dan origen a la política pública de gestión de espectro 2025-2029</w:t>
            </w:r>
            <w:r w:rsidR="009F27E0">
              <w:rPr>
                <w:rFonts w:ascii="Arial" w:hAnsi="Arial" w:cs="Arial"/>
              </w:rPr>
              <w:t>.</w:t>
            </w:r>
          </w:p>
        </w:tc>
      </w:tr>
      <w:tr w:rsidR="00910A2B" w:rsidRPr="00CE0417" w14:paraId="2C8A0E56" w14:textId="77777777" w:rsidTr="0075705D">
        <w:trPr>
          <w:trHeight w:val="47"/>
        </w:trPr>
        <w:tc>
          <w:tcPr>
            <w:tcW w:w="10774" w:type="dxa"/>
            <w:gridSpan w:val="3"/>
            <w:shd w:val="clear" w:color="auto" w:fill="FFFFFF"/>
            <w:vAlign w:val="center"/>
          </w:tcPr>
          <w:p w14:paraId="2EF9499E" w14:textId="77777777" w:rsidR="00251FCE" w:rsidRPr="00CE0417" w:rsidRDefault="00251FCE" w:rsidP="0075705D">
            <w:pPr>
              <w:jc w:val="both"/>
              <w:rPr>
                <w:rFonts w:cs="Arial"/>
                <w:sz w:val="22"/>
                <w:szCs w:val="22"/>
                <w:lang w:eastAsia="es-CO"/>
              </w:rPr>
            </w:pPr>
          </w:p>
        </w:tc>
      </w:tr>
      <w:tr w:rsidR="00910A2B" w:rsidRPr="00CE0417"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4754CE36" w14:textId="322E5E06" w:rsidR="00DF60FD" w:rsidRPr="00CE0417" w:rsidRDefault="00910A2B" w:rsidP="0075705D">
            <w:pPr>
              <w:numPr>
                <w:ilvl w:val="0"/>
                <w:numId w:val="44"/>
              </w:numPr>
              <w:ind w:left="494"/>
              <w:rPr>
                <w:rFonts w:cs="Arial"/>
                <w:b/>
                <w:sz w:val="22"/>
                <w:szCs w:val="22"/>
              </w:rPr>
            </w:pPr>
            <w:r w:rsidRPr="00CE0417">
              <w:rPr>
                <w:rFonts w:cs="Arial"/>
                <w:b/>
                <w:sz w:val="22"/>
                <w:szCs w:val="22"/>
              </w:rPr>
              <w:t>Á</w:t>
            </w:r>
            <w:r w:rsidR="00DF60FD" w:rsidRPr="00CE0417">
              <w:rPr>
                <w:rFonts w:cs="Arial"/>
                <w:b/>
                <w:sz w:val="22"/>
                <w:szCs w:val="22"/>
              </w:rPr>
              <w:t>MBITO DE APLICACIÓN Y SUJETO</w:t>
            </w:r>
            <w:r w:rsidR="00795C6B" w:rsidRPr="00CE0417">
              <w:rPr>
                <w:rFonts w:cs="Arial"/>
                <w:b/>
                <w:sz w:val="22"/>
                <w:szCs w:val="22"/>
              </w:rPr>
              <w:t>S</w:t>
            </w:r>
            <w:r w:rsidR="00DF60FD" w:rsidRPr="00CE0417">
              <w:rPr>
                <w:rFonts w:cs="Arial"/>
                <w:b/>
                <w:sz w:val="22"/>
                <w:szCs w:val="22"/>
              </w:rPr>
              <w:t xml:space="preserve"> A QUIEN</w:t>
            </w:r>
            <w:r w:rsidR="00795C6B" w:rsidRPr="00CE0417">
              <w:rPr>
                <w:rFonts w:cs="Arial"/>
                <w:b/>
                <w:sz w:val="22"/>
                <w:szCs w:val="22"/>
              </w:rPr>
              <w:t>ES</w:t>
            </w:r>
            <w:r w:rsidR="00DF60FD" w:rsidRPr="00CE0417">
              <w:rPr>
                <w:rFonts w:cs="Arial"/>
                <w:b/>
                <w:sz w:val="22"/>
                <w:szCs w:val="22"/>
              </w:rPr>
              <w:t xml:space="preserve"> VA DIRIGIDO</w:t>
            </w:r>
          </w:p>
          <w:p w14:paraId="232227FC" w14:textId="77777777" w:rsidR="00EC4A88" w:rsidRPr="00F931B0" w:rsidRDefault="00EC4A88" w:rsidP="00452A13">
            <w:pPr>
              <w:pStyle w:val="Listavistosa-nfasis11"/>
              <w:spacing w:line="240" w:lineRule="auto"/>
              <w:ind w:left="494"/>
              <w:jc w:val="both"/>
              <w:rPr>
                <w:rFonts w:ascii="Arial" w:hAnsi="Arial" w:cs="Arial"/>
              </w:rPr>
            </w:pPr>
          </w:p>
          <w:p w14:paraId="5DB2F06F" w14:textId="72CD4695" w:rsidR="00452A13" w:rsidRPr="00F931B0" w:rsidRDefault="00EC4A88" w:rsidP="00452A13">
            <w:pPr>
              <w:pStyle w:val="Listavistosa-nfasis11"/>
              <w:spacing w:line="240" w:lineRule="auto"/>
              <w:ind w:left="494"/>
              <w:jc w:val="both"/>
              <w:rPr>
                <w:rFonts w:ascii="Arial" w:hAnsi="Arial" w:cs="Arial"/>
              </w:rPr>
            </w:pPr>
            <w:r w:rsidRPr="00F931B0">
              <w:rPr>
                <w:rFonts w:ascii="Arial" w:hAnsi="Arial" w:cs="Arial"/>
              </w:rPr>
              <w:t xml:space="preserve">La Política Pública de Gestión de Espectro 2025 - 2029” que se </w:t>
            </w:r>
            <w:r w:rsidR="00835CC2" w:rsidRPr="00F931B0">
              <w:rPr>
                <w:rFonts w:ascii="Arial" w:hAnsi="Arial" w:cs="Arial"/>
              </w:rPr>
              <w:t>adopta</w:t>
            </w:r>
            <w:r w:rsidRPr="00F931B0">
              <w:rPr>
                <w:rFonts w:ascii="Arial" w:hAnsi="Arial" w:cs="Arial"/>
              </w:rPr>
              <w:t xml:space="preserve"> a </w:t>
            </w:r>
            <w:r w:rsidR="00835CC2" w:rsidRPr="00F931B0">
              <w:rPr>
                <w:rFonts w:ascii="Arial" w:hAnsi="Arial" w:cs="Arial"/>
              </w:rPr>
              <w:t>través</w:t>
            </w:r>
            <w:r w:rsidRPr="00F931B0">
              <w:rPr>
                <w:rFonts w:ascii="Arial" w:hAnsi="Arial" w:cs="Arial"/>
              </w:rPr>
              <w:t xml:space="preserve"> del proyecto de resolución </w:t>
            </w:r>
            <w:r w:rsidR="00835CC2" w:rsidRPr="00F931B0">
              <w:rPr>
                <w:rFonts w:ascii="Arial" w:hAnsi="Arial" w:cs="Arial"/>
              </w:rPr>
              <w:t xml:space="preserve">es aplicable al Ministerio </w:t>
            </w:r>
            <w:r w:rsidR="00C75E85" w:rsidRPr="00F931B0">
              <w:rPr>
                <w:rFonts w:ascii="Arial" w:hAnsi="Arial" w:cs="Arial"/>
              </w:rPr>
              <w:t xml:space="preserve">de Tecnologías de la Información y las Comunicaciones </w:t>
            </w:r>
            <w:r w:rsidR="00E81C3C" w:rsidRPr="00F931B0">
              <w:rPr>
                <w:rFonts w:ascii="Arial" w:hAnsi="Arial" w:cs="Arial"/>
              </w:rPr>
              <w:t xml:space="preserve">– MinTIC </w:t>
            </w:r>
            <w:r w:rsidR="000114EC" w:rsidRPr="00F931B0">
              <w:rPr>
                <w:rFonts w:ascii="Arial" w:hAnsi="Arial" w:cs="Arial"/>
              </w:rPr>
              <w:t>y</w:t>
            </w:r>
            <w:r w:rsidR="00E81C3C" w:rsidRPr="00CE0417">
              <w:rPr>
                <w:rFonts w:ascii="Arial" w:hAnsi="Arial" w:cs="Arial"/>
              </w:rPr>
              <w:t xml:space="preserve"> </w:t>
            </w:r>
            <w:r w:rsidR="00E81C3C" w:rsidRPr="00F931B0">
              <w:rPr>
                <w:rFonts w:ascii="Arial" w:hAnsi="Arial" w:cs="Arial"/>
              </w:rPr>
              <w:t>Agencia Nacional de Espectro –</w:t>
            </w:r>
            <w:r w:rsidR="000114EC" w:rsidRPr="00F931B0">
              <w:rPr>
                <w:rFonts w:ascii="Arial" w:hAnsi="Arial" w:cs="Arial"/>
              </w:rPr>
              <w:t xml:space="preserve"> ANE</w:t>
            </w:r>
            <w:r w:rsidR="00452A13" w:rsidRPr="00F931B0">
              <w:rPr>
                <w:rFonts w:ascii="Arial" w:hAnsi="Arial" w:cs="Arial"/>
              </w:rPr>
              <w:t xml:space="preserve">. </w:t>
            </w:r>
          </w:p>
          <w:p w14:paraId="1B1C722A" w14:textId="77777777" w:rsidR="00835CC2" w:rsidRPr="00F931B0" w:rsidRDefault="00835CC2" w:rsidP="00452A13">
            <w:pPr>
              <w:pStyle w:val="Listavistosa-nfasis11"/>
              <w:spacing w:line="240" w:lineRule="auto"/>
              <w:ind w:left="494"/>
              <w:jc w:val="both"/>
              <w:rPr>
                <w:rFonts w:ascii="Arial" w:hAnsi="Arial" w:cs="Arial"/>
              </w:rPr>
            </w:pPr>
          </w:p>
          <w:p w14:paraId="0665CC22" w14:textId="25DCE296" w:rsidR="00BB46F3" w:rsidRPr="00F931B0" w:rsidRDefault="00452A13" w:rsidP="00452A13">
            <w:pPr>
              <w:pStyle w:val="Listavistosa-nfasis11"/>
              <w:spacing w:line="240" w:lineRule="auto"/>
              <w:ind w:left="494"/>
              <w:jc w:val="both"/>
              <w:rPr>
                <w:rFonts w:ascii="Arial" w:hAnsi="Arial" w:cs="Arial"/>
              </w:rPr>
            </w:pPr>
            <w:r w:rsidRPr="00F931B0">
              <w:rPr>
                <w:rFonts w:ascii="Arial" w:hAnsi="Arial" w:cs="Arial"/>
              </w:rPr>
              <w:t>Los objetivos propuestos y la</w:t>
            </w:r>
            <w:r w:rsidR="00BB46F3" w:rsidRPr="00F931B0">
              <w:rPr>
                <w:rFonts w:ascii="Arial" w:hAnsi="Arial" w:cs="Arial"/>
              </w:rPr>
              <w:t>s a</w:t>
            </w:r>
            <w:r w:rsidRPr="00F931B0">
              <w:rPr>
                <w:rFonts w:ascii="Arial" w:hAnsi="Arial" w:cs="Arial"/>
              </w:rPr>
              <w:t>cci</w:t>
            </w:r>
            <w:r w:rsidR="00BB46F3" w:rsidRPr="00F931B0">
              <w:rPr>
                <w:rFonts w:ascii="Arial" w:hAnsi="Arial" w:cs="Arial"/>
              </w:rPr>
              <w:t>ones planteadas para generar un entorno de gestión que promueva el uso más eficiente e innovador del espectro deben ser ejecutadas por estas dos entidades</w:t>
            </w:r>
            <w:r w:rsidR="0029641D" w:rsidRPr="00F931B0">
              <w:rPr>
                <w:rFonts w:ascii="Arial" w:hAnsi="Arial" w:cs="Arial"/>
              </w:rPr>
              <w:t>.</w:t>
            </w:r>
          </w:p>
          <w:p w14:paraId="33CB66DC" w14:textId="7B560915" w:rsidR="00795C6B" w:rsidRPr="00F931B0" w:rsidRDefault="00795C6B" w:rsidP="00CD6040">
            <w:pPr>
              <w:pStyle w:val="Listavistosa-nfasis11"/>
              <w:spacing w:line="240" w:lineRule="auto"/>
              <w:ind w:left="0"/>
              <w:jc w:val="both"/>
              <w:rPr>
                <w:rFonts w:ascii="Arial" w:hAnsi="Arial" w:cs="Arial"/>
              </w:rPr>
            </w:pPr>
          </w:p>
        </w:tc>
      </w:tr>
      <w:tr w:rsidR="00910A2B" w:rsidRPr="00CE0417" w14:paraId="568C284A" w14:textId="77777777" w:rsidTr="0075705D">
        <w:trPr>
          <w:trHeight w:val="278"/>
        </w:trPr>
        <w:tc>
          <w:tcPr>
            <w:tcW w:w="10774" w:type="dxa"/>
            <w:gridSpan w:val="3"/>
            <w:tcBorders>
              <w:bottom w:val="single" w:sz="4" w:space="0" w:color="auto"/>
            </w:tcBorders>
            <w:shd w:val="clear" w:color="auto" w:fill="FFFFFF"/>
            <w:vAlign w:val="center"/>
          </w:tcPr>
          <w:p w14:paraId="398E1121" w14:textId="665B8F43" w:rsidR="00D05B67" w:rsidRPr="00CE0417" w:rsidRDefault="00795C6B" w:rsidP="00A73893">
            <w:pPr>
              <w:ind w:left="494" w:hanging="283"/>
              <w:rPr>
                <w:rFonts w:cs="Arial"/>
                <w:b/>
                <w:sz w:val="22"/>
                <w:szCs w:val="22"/>
              </w:rPr>
            </w:pPr>
            <w:r w:rsidRPr="00CE0417">
              <w:rPr>
                <w:rFonts w:cs="Arial"/>
                <w:b/>
                <w:sz w:val="22"/>
                <w:szCs w:val="22"/>
              </w:rPr>
              <w:t xml:space="preserve">3. </w:t>
            </w:r>
            <w:r w:rsidR="00DF60FD" w:rsidRPr="00CE0417">
              <w:rPr>
                <w:rFonts w:cs="Arial"/>
                <w:b/>
                <w:sz w:val="22"/>
                <w:szCs w:val="22"/>
              </w:rPr>
              <w:t>VIABILIDAD JURÍDICA</w:t>
            </w:r>
          </w:p>
          <w:p w14:paraId="1A33E3C6" w14:textId="77777777" w:rsidR="00D05B67" w:rsidRPr="00F931B0" w:rsidRDefault="00D05B67" w:rsidP="0075705D">
            <w:pPr>
              <w:ind w:left="494" w:hanging="283"/>
              <w:rPr>
                <w:rFonts w:cs="Arial"/>
                <w:sz w:val="22"/>
                <w:szCs w:val="22"/>
              </w:rPr>
            </w:pPr>
          </w:p>
          <w:p w14:paraId="53B5F307" w14:textId="77777777" w:rsidR="00795C6B" w:rsidRPr="00F931B0" w:rsidRDefault="00795C6B" w:rsidP="0075705D">
            <w:pPr>
              <w:ind w:left="494" w:hanging="283"/>
              <w:jc w:val="both"/>
              <w:rPr>
                <w:rFonts w:cs="Arial"/>
                <w:b/>
                <w:bCs/>
                <w:sz w:val="22"/>
                <w:szCs w:val="22"/>
                <w:lang w:val="es-CO" w:eastAsia="es-CO"/>
              </w:rPr>
            </w:pPr>
            <w:r w:rsidRPr="00F931B0">
              <w:rPr>
                <w:rFonts w:cs="Arial"/>
                <w:b/>
                <w:bCs/>
                <w:sz w:val="22"/>
                <w:szCs w:val="22"/>
                <w:lang w:val="es-CO" w:eastAsia="es-CO"/>
              </w:rPr>
              <w:t>3.1 Análisis de las normas que otorgan la competencia para la expedición del proyecto normativo</w:t>
            </w:r>
          </w:p>
          <w:p w14:paraId="074F325B" w14:textId="2267B0E9" w:rsidR="00B63B55" w:rsidRPr="00F931B0" w:rsidRDefault="00835CC2" w:rsidP="005561B0">
            <w:pPr>
              <w:ind w:left="422"/>
              <w:jc w:val="both"/>
              <w:rPr>
                <w:rFonts w:cs="Arial"/>
                <w:sz w:val="22"/>
                <w:szCs w:val="22"/>
              </w:rPr>
            </w:pPr>
            <w:r w:rsidRPr="00F931B0">
              <w:rPr>
                <w:rFonts w:cs="Arial"/>
                <w:sz w:val="22"/>
                <w:szCs w:val="22"/>
              </w:rPr>
              <w:t>L</w:t>
            </w:r>
            <w:r w:rsidR="00B63B55" w:rsidRPr="00F931B0">
              <w:rPr>
                <w:rFonts w:cs="Arial"/>
                <w:sz w:val="22"/>
                <w:szCs w:val="22"/>
              </w:rPr>
              <w:t xml:space="preserve">os numerales 1 y 2 del artículo 18 de la Ley 1341 de 2009, modificado por el artículo 14 de la Ley 1978 de 2019, </w:t>
            </w:r>
            <w:r w:rsidRPr="00F931B0">
              <w:rPr>
                <w:rFonts w:cs="Arial"/>
                <w:sz w:val="22"/>
                <w:szCs w:val="22"/>
              </w:rPr>
              <w:t xml:space="preserve">establecen que </w:t>
            </w:r>
            <w:r w:rsidR="00B63B55" w:rsidRPr="00F931B0">
              <w:rPr>
                <w:rFonts w:cs="Arial"/>
                <w:sz w:val="22"/>
                <w:szCs w:val="22"/>
              </w:rPr>
              <w:t>al Ministerio de Tecnologías de la Información y las Comunicaciones le corresponde diseñar, adoptar y promover las políticas, planes, programas y proyectos del sector de las Tecnologías</w:t>
            </w:r>
            <w:r w:rsidR="00FF741E" w:rsidRPr="00F931B0">
              <w:rPr>
                <w:rFonts w:cs="Arial"/>
                <w:sz w:val="22"/>
                <w:szCs w:val="22"/>
              </w:rPr>
              <w:t xml:space="preserve"> </w:t>
            </w:r>
            <w:r w:rsidR="00B63B55" w:rsidRPr="00F931B0">
              <w:rPr>
                <w:rFonts w:cs="Arial"/>
                <w:sz w:val="22"/>
                <w:szCs w:val="22"/>
              </w:rPr>
              <w:t xml:space="preserve">de la Información y las Comunicaciones, así como políticas, planes y programas tendientes </w:t>
            </w:r>
            <w:r w:rsidR="00B63B55" w:rsidRPr="00F931B0">
              <w:rPr>
                <w:rFonts w:cs="Arial"/>
                <w:sz w:val="22"/>
                <w:szCs w:val="22"/>
              </w:rPr>
              <w:lastRenderedPageBreak/>
              <w:t>a incrementar y facilitar el acceso de todos los habitantes del territorio nacional, a las tecnologías de la información y las comunicaciones.</w:t>
            </w:r>
          </w:p>
          <w:p w14:paraId="6BD66B94" w14:textId="77777777" w:rsidR="0026042E" w:rsidRPr="00F931B0" w:rsidRDefault="0026042E" w:rsidP="005561B0">
            <w:pPr>
              <w:ind w:left="422"/>
              <w:jc w:val="both"/>
              <w:rPr>
                <w:rFonts w:cs="Arial"/>
                <w:sz w:val="22"/>
                <w:szCs w:val="22"/>
              </w:rPr>
            </w:pPr>
          </w:p>
          <w:p w14:paraId="1327CE7C" w14:textId="59BD8959" w:rsidR="0026042E" w:rsidRPr="00F931B0" w:rsidRDefault="0026042E" w:rsidP="005561B0">
            <w:pPr>
              <w:ind w:left="422"/>
              <w:jc w:val="both"/>
              <w:rPr>
                <w:rFonts w:cs="Arial"/>
                <w:sz w:val="22"/>
                <w:szCs w:val="22"/>
              </w:rPr>
            </w:pPr>
            <w:r w:rsidRPr="00F931B0">
              <w:rPr>
                <w:rFonts w:cs="Arial"/>
                <w:sz w:val="22"/>
                <w:szCs w:val="22"/>
              </w:rPr>
              <w:t>Asu vez,</w:t>
            </w:r>
            <w:r w:rsidR="00B17048" w:rsidRPr="00F931B0">
              <w:rPr>
                <w:rFonts w:cs="Arial"/>
                <w:sz w:val="22"/>
                <w:szCs w:val="22"/>
              </w:rPr>
              <w:t xml:space="preserve"> en virtud d</w:t>
            </w:r>
            <w:r w:rsidRPr="00F931B0">
              <w:rPr>
                <w:rFonts w:cs="Arial"/>
                <w:sz w:val="22"/>
                <w:szCs w:val="22"/>
              </w:rPr>
              <w:t xml:space="preserve">el </w:t>
            </w:r>
            <w:r w:rsidR="00CA3B1E" w:rsidRPr="00F931B0">
              <w:rPr>
                <w:rFonts w:cs="Arial"/>
                <w:sz w:val="22"/>
                <w:szCs w:val="22"/>
              </w:rPr>
              <w:t>numeral 3 del artículo 5 del Decreto 1064 de 2020</w:t>
            </w:r>
            <w:r w:rsidR="00A93CB7">
              <w:rPr>
                <w:rFonts w:cs="Arial"/>
                <w:sz w:val="22"/>
                <w:szCs w:val="22"/>
              </w:rPr>
              <w:t xml:space="preserve"> “”</w:t>
            </w:r>
            <w:r w:rsidR="00CA3B1E" w:rsidRPr="00F931B0">
              <w:rPr>
                <w:rFonts w:cs="Arial"/>
                <w:sz w:val="22"/>
                <w:szCs w:val="22"/>
              </w:rPr>
              <w:t xml:space="preserve"> </w:t>
            </w:r>
            <w:r w:rsidR="00B17048" w:rsidRPr="00F931B0">
              <w:rPr>
                <w:rFonts w:cs="Arial"/>
                <w:sz w:val="22"/>
                <w:szCs w:val="22"/>
              </w:rPr>
              <w:t>le corresponde al Despacho de la Ministra la función de “3. Dirigir el diseño, la adopción y la promoción de políticas, planes, programas y proyectos del sector de tecnologías de la información y las comunicaciones, tendientes a incrementar y facilitar el acceso de todos los habitantes del territorio nacional a las tecnologías de la información y las comunicaciones y a sus beneficios.</w:t>
            </w:r>
          </w:p>
          <w:p w14:paraId="5C0CC029" w14:textId="77777777" w:rsidR="00AB60CE" w:rsidRPr="00CE0417" w:rsidRDefault="00AB60CE" w:rsidP="0075705D">
            <w:pPr>
              <w:ind w:left="494" w:hanging="283"/>
              <w:jc w:val="both"/>
              <w:rPr>
                <w:rFonts w:cs="Arial"/>
                <w:sz w:val="22"/>
                <w:szCs w:val="22"/>
                <w:lang w:val="es-CO" w:eastAsia="es-CO"/>
              </w:rPr>
            </w:pPr>
          </w:p>
          <w:p w14:paraId="5B8EAEC3" w14:textId="49DA7023" w:rsidR="00795C6B" w:rsidRPr="00F931B0" w:rsidRDefault="00795C6B" w:rsidP="0075705D">
            <w:pPr>
              <w:ind w:left="494" w:hanging="283"/>
              <w:jc w:val="both"/>
              <w:rPr>
                <w:rFonts w:cs="Arial"/>
                <w:b/>
                <w:bCs/>
                <w:sz w:val="22"/>
                <w:szCs w:val="22"/>
                <w:lang w:val="es-CO" w:eastAsia="es-CO"/>
              </w:rPr>
            </w:pPr>
            <w:r w:rsidRPr="00F931B0">
              <w:rPr>
                <w:rFonts w:cs="Arial"/>
                <w:b/>
                <w:bCs/>
                <w:sz w:val="22"/>
                <w:szCs w:val="22"/>
                <w:lang w:val="es-CO" w:eastAsia="es-CO"/>
              </w:rPr>
              <w:t>3.2 Vigencia de la ley o norma reglamentada o desarrollada</w:t>
            </w:r>
          </w:p>
          <w:p w14:paraId="0BD35917" w14:textId="77777777" w:rsidR="00795C6B" w:rsidRPr="00CE0417" w:rsidRDefault="00795C6B" w:rsidP="0075705D">
            <w:pPr>
              <w:ind w:left="494" w:hanging="283"/>
              <w:jc w:val="both"/>
              <w:rPr>
                <w:rFonts w:cs="Arial"/>
                <w:sz w:val="22"/>
                <w:szCs w:val="22"/>
                <w:lang w:val="es-CO" w:eastAsia="es-CO"/>
              </w:rPr>
            </w:pPr>
          </w:p>
          <w:p w14:paraId="63040D7E" w14:textId="7F9FFC6B" w:rsidR="00CE0417" w:rsidRDefault="00CE0417" w:rsidP="00BB0BAC">
            <w:pPr>
              <w:ind w:left="422"/>
              <w:jc w:val="both"/>
              <w:rPr>
                <w:rFonts w:cs="Arial"/>
                <w:sz w:val="22"/>
                <w:szCs w:val="22"/>
              </w:rPr>
            </w:pPr>
            <w:r w:rsidRPr="00F931B0">
              <w:rPr>
                <w:rFonts w:cs="Arial"/>
                <w:sz w:val="22"/>
                <w:szCs w:val="22"/>
              </w:rPr>
              <w:t xml:space="preserve">El numeral 5 del artículo 17 de la Ley 1341 de 2009, adicionado por el artículo 13 de la Ley 1978 de 2019, establece como objetivo del Ministerio de Tecnologías de la Información y las Comunicaciones ejercer la </w:t>
            </w:r>
            <w:r>
              <w:rPr>
                <w:rFonts w:cs="Arial"/>
                <w:sz w:val="22"/>
                <w:szCs w:val="22"/>
              </w:rPr>
              <w:t xml:space="preserve">que </w:t>
            </w:r>
            <w:r w:rsidRPr="00F931B0">
              <w:rPr>
                <w:rFonts w:cs="Arial"/>
                <w:sz w:val="22"/>
                <w:szCs w:val="22"/>
              </w:rPr>
              <w:t>asignación, gestión, planeación y administración del espectro radioeléctrico</w:t>
            </w:r>
            <w:r>
              <w:rPr>
                <w:rFonts w:cs="Arial"/>
                <w:sz w:val="22"/>
                <w:szCs w:val="22"/>
              </w:rPr>
              <w:t xml:space="preserve">, se encuentra vigente. </w:t>
            </w:r>
          </w:p>
          <w:p w14:paraId="30B20014" w14:textId="77777777" w:rsidR="00CE0417" w:rsidRPr="00F931B0" w:rsidRDefault="00CE0417" w:rsidP="00BB0BAC">
            <w:pPr>
              <w:ind w:left="422"/>
              <w:jc w:val="both"/>
              <w:rPr>
                <w:rFonts w:cs="Arial"/>
                <w:sz w:val="22"/>
                <w:szCs w:val="22"/>
              </w:rPr>
            </w:pPr>
          </w:p>
          <w:p w14:paraId="0EC38039" w14:textId="654A96F7" w:rsidR="00E97A8B" w:rsidRDefault="00CE0417" w:rsidP="00BB0BAC">
            <w:pPr>
              <w:ind w:left="422"/>
              <w:jc w:val="both"/>
              <w:rPr>
                <w:rFonts w:cs="Arial"/>
                <w:sz w:val="22"/>
                <w:szCs w:val="22"/>
              </w:rPr>
            </w:pPr>
            <w:r>
              <w:rPr>
                <w:rFonts w:cs="Arial"/>
                <w:sz w:val="22"/>
                <w:szCs w:val="22"/>
              </w:rPr>
              <w:t>A</w:t>
            </w:r>
            <w:r w:rsidR="00896088">
              <w:rPr>
                <w:rFonts w:cs="Arial"/>
                <w:sz w:val="22"/>
                <w:szCs w:val="22"/>
              </w:rPr>
              <w:t>s</w:t>
            </w:r>
            <w:r>
              <w:rPr>
                <w:rFonts w:cs="Arial"/>
                <w:sz w:val="22"/>
                <w:szCs w:val="22"/>
              </w:rPr>
              <w:t>í mismo, l</w:t>
            </w:r>
            <w:r w:rsidR="000E7192" w:rsidRPr="00F931B0">
              <w:rPr>
                <w:rFonts w:cs="Arial"/>
                <w:sz w:val="22"/>
                <w:szCs w:val="22"/>
              </w:rPr>
              <w:t>os numerales 1 y 2 del artículo 18 de la Ley 1341 de 2009</w:t>
            </w:r>
            <w:r>
              <w:rPr>
                <w:rFonts w:cs="Arial"/>
                <w:sz w:val="22"/>
                <w:szCs w:val="22"/>
              </w:rPr>
              <w:t>, citados antes,</w:t>
            </w:r>
            <w:r w:rsidR="000E7192" w:rsidRPr="00F931B0">
              <w:rPr>
                <w:rFonts w:cs="Arial"/>
                <w:sz w:val="22"/>
                <w:szCs w:val="22"/>
              </w:rPr>
              <w:t xml:space="preserve"> se encuentran</w:t>
            </w:r>
            <w:r w:rsidR="00011317">
              <w:rPr>
                <w:rFonts w:cs="Arial"/>
                <w:sz w:val="22"/>
                <w:szCs w:val="22"/>
              </w:rPr>
              <w:t xml:space="preserve"> también vigentes.</w:t>
            </w:r>
          </w:p>
          <w:p w14:paraId="4383B16E" w14:textId="77777777" w:rsidR="00011317" w:rsidRPr="00F931B0" w:rsidRDefault="00011317" w:rsidP="00BB0BAC">
            <w:pPr>
              <w:ind w:left="422"/>
              <w:jc w:val="both"/>
              <w:rPr>
                <w:rFonts w:cs="Arial"/>
                <w:sz w:val="22"/>
                <w:szCs w:val="22"/>
              </w:rPr>
            </w:pPr>
          </w:p>
          <w:p w14:paraId="460D908F" w14:textId="77777777" w:rsidR="00795C6B" w:rsidRPr="00F931B0" w:rsidRDefault="00795C6B" w:rsidP="0075705D">
            <w:pPr>
              <w:ind w:left="494" w:hanging="283"/>
              <w:jc w:val="both"/>
              <w:rPr>
                <w:rFonts w:cs="Arial"/>
                <w:b/>
                <w:bCs/>
                <w:sz w:val="22"/>
                <w:szCs w:val="22"/>
                <w:lang w:val="es-CO" w:eastAsia="es-CO"/>
              </w:rPr>
            </w:pPr>
            <w:r w:rsidRPr="00F931B0">
              <w:rPr>
                <w:rFonts w:cs="Arial"/>
                <w:b/>
                <w:bCs/>
                <w:sz w:val="22"/>
                <w:szCs w:val="22"/>
                <w:lang w:val="es-CO" w:eastAsia="es-CO"/>
              </w:rPr>
              <w:t>3.3. Disposiciones derogas, subrogadas, modificadas, adicionadas</w:t>
            </w:r>
            <w:r w:rsidR="00D05B67" w:rsidRPr="00F931B0">
              <w:rPr>
                <w:rFonts w:cs="Arial"/>
                <w:b/>
                <w:bCs/>
                <w:sz w:val="22"/>
                <w:szCs w:val="22"/>
                <w:lang w:val="es-CO" w:eastAsia="es-CO"/>
              </w:rPr>
              <w:t xml:space="preserve"> o sustituidas </w:t>
            </w:r>
          </w:p>
          <w:p w14:paraId="1343822F" w14:textId="77777777" w:rsidR="00A93CB7" w:rsidRDefault="00A93CB7" w:rsidP="00A73893">
            <w:pPr>
              <w:ind w:left="422"/>
              <w:jc w:val="both"/>
              <w:rPr>
                <w:rFonts w:cs="Arial"/>
                <w:sz w:val="22"/>
                <w:szCs w:val="22"/>
              </w:rPr>
            </w:pPr>
          </w:p>
          <w:p w14:paraId="64BEE183" w14:textId="050105AD" w:rsidR="005F3145" w:rsidRPr="00F931B0" w:rsidRDefault="005F3145" w:rsidP="00A73893">
            <w:pPr>
              <w:ind w:left="422"/>
              <w:jc w:val="both"/>
              <w:rPr>
                <w:rFonts w:cs="Arial"/>
                <w:sz w:val="22"/>
                <w:szCs w:val="22"/>
              </w:rPr>
            </w:pPr>
            <w:r w:rsidRPr="00F931B0">
              <w:rPr>
                <w:rFonts w:cs="Arial"/>
                <w:sz w:val="22"/>
                <w:szCs w:val="22"/>
              </w:rPr>
              <w:t xml:space="preserve">No aplica </w:t>
            </w:r>
          </w:p>
          <w:p w14:paraId="309FDDAC" w14:textId="77777777" w:rsidR="005F3145" w:rsidRPr="00CE0417" w:rsidRDefault="005F3145" w:rsidP="0075705D">
            <w:pPr>
              <w:ind w:left="494" w:hanging="283"/>
              <w:jc w:val="both"/>
              <w:rPr>
                <w:rFonts w:cs="Arial"/>
                <w:sz w:val="22"/>
                <w:szCs w:val="22"/>
                <w:lang w:val="es-CO" w:eastAsia="es-CO"/>
              </w:rPr>
            </w:pPr>
          </w:p>
          <w:p w14:paraId="03C83369" w14:textId="77777777" w:rsidR="00D05B67" w:rsidRPr="00F931B0" w:rsidRDefault="00D05B67" w:rsidP="0075705D">
            <w:pPr>
              <w:ind w:left="494" w:hanging="283"/>
              <w:jc w:val="both"/>
              <w:rPr>
                <w:rFonts w:cs="Arial"/>
                <w:b/>
                <w:bCs/>
                <w:sz w:val="22"/>
                <w:szCs w:val="22"/>
                <w:lang w:val="es-CO" w:eastAsia="es-CO"/>
              </w:rPr>
            </w:pPr>
            <w:r w:rsidRPr="00F931B0">
              <w:rPr>
                <w:rFonts w:cs="Arial"/>
                <w:b/>
                <w:bCs/>
                <w:sz w:val="22"/>
                <w:szCs w:val="22"/>
                <w:lang w:val="es-CO" w:eastAsia="es-CO"/>
              </w:rPr>
              <w:t>3.4 Revisión y análisis de la jurisprudencia que tenga impacto o sea relevante para la expedición del proyecto normativo (órganos de cierre de cada jurisdicción)</w:t>
            </w:r>
          </w:p>
          <w:p w14:paraId="04043AEF" w14:textId="77777777" w:rsidR="00A93CB7" w:rsidRDefault="00A93CB7" w:rsidP="00046C85">
            <w:pPr>
              <w:ind w:left="422"/>
              <w:jc w:val="both"/>
              <w:rPr>
                <w:rFonts w:cs="Arial"/>
                <w:sz w:val="22"/>
                <w:szCs w:val="22"/>
              </w:rPr>
            </w:pPr>
          </w:p>
          <w:p w14:paraId="3268E490" w14:textId="414EB861" w:rsidR="00D05B67" w:rsidRPr="00F931B0" w:rsidRDefault="005F3145" w:rsidP="00046C85">
            <w:pPr>
              <w:ind w:left="422"/>
              <w:jc w:val="both"/>
              <w:rPr>
                <w:rFonts w:cs="Arial"/>
                <w:sz w:val="22"/>
                <w:szCs w:val="22"/>
              </w:rPr>
            </w:pPr>
            <w:r w:rsidRPr="00F931B0">
              <w:rPr>
                <w:rFonts w:cs="Arial"/>
                <w:sz w:val="22"/>
                <w:szCs w:val="22"/>
              </w:rPr>
              <w:t xml:space="preserve">Se desconoce </w:t>
            </w:r>
            <w:r w:rsidR="00046C85" w:rsidRPr="00F931B0">
              <w:rPr>
                <w:rFonts w:cs="Arial"/>
                <w:sz w:val="22"/>
                <w:szCs w:val="22"/>
              </w:rPr>
              <w:t>jurisprudencia</w:t>
            </w:r>
            <w:r w:rsidRPr="00F931B0">
              <w:rPr>
                <w:rFonts w:cs="Arial"/>
                <w:sz w:val="22"/>
                <w:szCs w:val="22"/>
              </w:rPr>
              <w:t xml:space="preserve"> </w:t>
            </w:r>
            <w:r w:rsidR="006A7A97" w:rsidRPr="00F931B0">
              <w:rPr>
                <w:rFonts w:cs="Arial"/>
                <w:sz w:val="22"/>
                <w:szCs w:val="22"/>
              </w:rPr>
              <w:t xml:space="preserve">que sea impactada o </w:t>
            </w:r>
            <w:r w:rsidRPr="00F931B0">
              <w:rPr>
                <w:rFonts w:cs="Arial"/>
                <w:sz w:val="22"/>
                <w:szCs w:val="22"/>
              </w:rPr>
              <w:t>relevante</w:t>
            </w:r>
            <w:r w:rsidR="006A7A97" w:rsidRPr="00F931B0">
              <w:rPr>
                <w:rFonts w:cs="Arial"/>
                <w:sz w:val="22"/>
                <w:szCs w:val="22"/>
              </w:rPr>
              <w:t xml:space="preserve"> para la expedición de la “Política de Gestión de Espectro 2025-2029”</w:t>
            </w:r>
            <w:r w:rsidR="00EC52D4" w:rsidRPr="00F931B0">
              <w:rPr>
                <w:rFonts w:cs="Arial"/>
                <w:sz w:val="22"/>
                <w:szCs w:val="22"/>
              </w:rPr>
              <w:t>.</w:t>
            </w:r>
          </w:p>
          <w:p w14:paraId="5BE4BA75" w14:textId="77777777" w:rsidR="005F3145" w:rsidRPr="00CE0417" w:rsidRDefault="005F3145" w:rsidP="0075705D">
            <w:pPr>
              <w:ind w:left="494" w:hanging="283"/>
              <w:jc w:val="both"/>
              <w:rPr>
                <w:rFonts w:cs="Arial"/>
                <w:sz w:val="22"/>
                <w:szCs w:val="22"/>
                <w:lang w:val="es-CO" w:eastAsia="es-CO"/>
              </w:rPr>
            </w:pPr>
          </w:p>
          <w:p w14:paraId="44F8DEB7" w14:textId="77777777" w:rsidR="005F3145" w:rsidRPr="00F931B0" w:rsidRDefault="00D05B67" w:rsidP="0075705D">
            <w:pPr>
              <w:ind w:left="494" w:hanging="283"/>
              <w:jc w:val="both"/>
              <w:rPr>
                <w:rFonts w:cs="Arial"/>
                <w:b/>
                <w:bCs/>
                <w:sz w:val="22"/>
                <w:szCs w:val="22"/>
                <w:lang w:val="es-CO" w:eastAsia="es-CO"/>
              </w:rPr>
            </w:pPr>
            <w:r w:rsidRPr="00F931B0">
              <w:rPr>
                <w:rFonts w:cs="Arial"/>
                <w:b/>
                <w:bCs/>
                <w:sz w:val="22"/>
                <w:szCs w:val="22"/>
                <w:lang w:val="es-CO" w:eastAsia="es-CO"/>
              </w:rPr>
              <w:t>3.5 Circunstancias jurídicas adicionales</w:t>
            </w:r>
          </w:p>
          <w:p w14:paraId="7670EE38" w14:textId="1669AD1E" w:rsidR="005F3145" w:rsidRPr="00F931B0" w:rsidRDefault="005F3145" w:rsidP="00EC52D4">
            <w:pPr>
              <w:ind w:left="422"/>
              <w:jc w:val="both"/>
              <w:rPr>
                <w:rFonts w:cs="Arial"/>
                <w:sz w:val="22"/>
                <w:szCs w:val="22"/>
              </w:rPr>
            </w:pPr>
            <w:r w:rsidRPr="00F931B0">
              <w:rPr>
                <w:rFonts w:cs="Arial"/>
                <w:sz w:val="22"/>
                <w:szCs w:val="22"/>
              </w:rPr>
              <w:t>Se desconoce</w:t>
            </w:r>
            <w:r w:rsidR="00EC52D4" w:rsidRPr="00F931B0">
              <w:rPr>
                <w:rFonts w:cs="Arial"/>
                <w:sz w:val="22"/>
                <w:szCs w:val="22"/>
              </w:rPr>
              <w:t>n</w:t>
            </w:r>
            <w:r w:rsidRPr="00F931B0">
              <w:rPr>
                <w:rFonts w:cs="Arial"/>
                <w:sz w:val="22"/>
                <w:szCs w:val="22"/>
              </w:rPr>
              <w:t xml:space="preserve"> circunstancias adicionales </w:t>
            </w:r>
          </w:p>
          <w:p w14:paraId="7D154299" w14:textId="1A84DF22" w:rsidR="00D05B67" w:rsidRPr="00CE0417" w:rsidRDefault="00D05B67" w:rsidP="0075705D">
            <w:pPr>
              <w:ind w:left="494" w:hanging="283"/>
              <w:jc w:val="both"/>
              <w:rPr>
                <w:rFonts w:cs="Arial"/>
                <w:sz w:val="22"/>
                <w:szCs w:val="22"/>
                <w:lang w:val="es-CO" w:eastAsia="es-CO"/>
              </w:rPr>
            </w:pPr>
            <w:r w:rsidRPr="00CE0417">
              <w:rPr>
                <w:rFonts w:cs="Arial"/>
                <w:sz w:val="22"/>
                <w:szCs w:val="22"/>
                <w:lang w:val="es-CO" w:eastAsia="es-CO"/>
              </w:rPr>
              <w:t xml:space="preserve"> </w:t>
            </w:r>
          </w:p>
          <w:p w14:paraId="74720DE6" w14:textId="77777777" w:rsidR="00795C6B" w:rsidRPr="00CE0417" w:rsidRDefault="00795C6B"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tc>
      </w:tr>
      <w:tr w:rsidR="00910A2B" w:rsidRPr="00CE0417"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843EFF" w:rsidRPr="00CE0417" w:rsidRDefault="00843EFF" w:rsidP="00A161B9">
            <w:pPr>
              <w:rPr>
                <w:rFonts w:cs="Arial"/>
                <w:b/>
                <w:sz w:val="22"/>
                <w:szCs w:val="22"/>
              </w:rPr>
            </w:pPr>
          </w:p>
          <w:p w14:paraId="4795114A" w14:textId="77777777" w:rsidR="00DF60FD" w:rsidRPr="00CE0417" w:rsidRDefault="00DF60FD" w:rsidP="00D05B67">
            <w:pPr>
              <w:numPr>
                <w:ilvl w:val="0"/>
                <w:numId w:val="45"/>
              </w:numPr>
              <w:rPr>
                <w:rFonts w:cs="Arial"/>
                <w:b/>
                <w:sz w:val="22"/>
                <w:szCs w:val="22"/>
              </w:rPr>
            </w:pPr>
            <w:r w:rsidRPr="00CE0417">
              <w:rPr>
                <w:rFonts w:cs="Arial"/>
                <w:b/>
                <w:sz w:val="22"/>
                <w:szCs w:val="22"/>
              </w:rPr>
              <w:t xml:space="preserve">IMPACTO ECONÓMICO </w:t>
            </w:r>
            <w:r w:rsidR="00D05B67" w:rsidRPr="00CE0417">
              <w:rPr>
                <w:rFonts w:cs="Arial"/>
                <w:sz w:val="22"/>
                <w:szCs w:val="22"/>
              </w:rPr>
              <w:t>(Si se requiere)</w:t>
            </w:r>
          </w:p>
          <w:p w14:paraId="733FBAC9" w14:textId="3C804800" w:rsidR="00843EFF" w:rsidRPr="00CE0417" w:rsidRDefault="005F3145" w:rsidP="00360809">
            <w:pPr>
              <w:ind w:left="708"/>
              <w:jc w:val="both"/>
              <w:rPr>
                <w:rFonts w:cs="Arial"/>
                <w:sz w:val="22"/>
                <w:szCs w:val="22"/>
                <w:lang w:val="es-CO"/>
              </w:rPr>
            </w:pPr>
            <w:r w:rsidRPr="00F931B0">
              <w:rPr>
                <w:rFonts w:cs="Arial"/>
                <w:sz w:val="22"/>
                <w:szCs w:val="22"/>
                <w:lang w:val="es-CO" w:eastAsia="es-CO"/>
              </w:rPr>
              <w:t>No aplica</w:t>
            </w:r>
            <w:r w:rsidR="00A93CB7">
              <w:rPr>
                <w:rFonts w:cs="Arial"/>
              </w:rPr>
              <w:t>,</w:t>
            </w:r>
            <w:r w:rsidR="00BF3BD2" w:rsidRPr="00F931B0">
              <w:rPr>
                <w:rFonts w:cs="Arial"/>
                <w:sz w:val="22"/>
                <w:szCs w:val="22"/>
                <w:lang w:val="es-CO" w:eastAsia="es-CO"/>
              </w:rPr>
              <w:t xml:space="preserve"> ya que se trata de un documento que establece un detalle orientativo para reforzar la normativa de mayor nivel establecida</w:t>
            </w:r>
            <w:r w:rsidR="00A50D2A" w:rsidRPr="00F931B0">
              <w:rPr>
                <w:rFonts w:cs="Arial"/>
                <w:sz w:val="22"/>
                <w:szCs w:val="22"/>
                <w:lang w:val="es-CO" w:eastAsia="es-CO"/>
              </w:rPr>
              <w:t xml:space="preserve"> y sin impacto económico. </w:t>
            </w:r>
          </w:p>
        </w:tc>
      </w:tr>
      <w:tr w:rsidR="00910A2B" w:rsidRPr="00CE0417"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CE0417" w:rsidRDefault="00843EFF" w:rsidP="00A161B9">
            <w:pPr>
              <w:rPr>
                <w:rFonts w:cs="Arial"/>
                <w:b/>
                <w:sz w:val="22"/>
                <w:szCs w:val="22"/>
              </w:rPr>
            </w:pPr>
          </w:p>
          <w:p w14:paraId="7DBD1743" w14:textId="77777777" w:rsidR="00DF60FD" w:rsidRPr="00CE0417" w:rsidRDefault="00795C6B" w:rsidP="00D05B67">
            <w:pPr>
              <w:numPr>
                <w:ilvl w:val="0"/>
                <w:numId w:val="45"/>
              </w:numPr>
              <w:rPr>
                <w:rFonts w:cs="Arial"/>
                <w:b/>
                <w:sz w:val="22"/>
                <w:szCs w:val="22"/>
              </w:rPr>
            </w:pPr>
            <w:r w:rsidRPr="00CE0417">
              <w:rPr>
                <w:rFonts w:cs="Arial"/>
                <w:b/>
                <w:sz w:val="22"/>
                <w:szCs w:val="22"/>
              </w:rPr>
              <w:t xml:space="preserve">VIABILIDAD O </w:t>
            </w:r>
            <w:r w:rsidR="00DF60FD" w:rsidRPr="00CE0417">
              <w:rPr>
                <w:rFonts w:cs="Arial"/>
                <w:b/>
                <w:sz w:val="22"/>
                <w:szCs w:val="22"/>
              </w:rPr>
              <w:t xml:space="preserve">DISPONIBILIDAD PRESUPUESTAL </w:t>
            </w:r>
            <w:r w:rsidR="00D05B67" w:rsidRPr="00CE0417">
              <w:rPr>
                <w:rFonts w:cs="Arial"/>
                <w:sz w:val="22"/>
                <w:szCs w:val="22"/>
              </w:rPr>
              <w:t>(Si se requiere)</w:t>
            </w:r>
          </w:p>
          <w:p w14:paraId="22013323" w14:textId="77777777" w:rsidR="00F07D04" w:rsidRDefault="00F07D04" w:rsidP="0095574F">
            <w:pPr>
              <w:pStyle w:val="Listavistosa-nfasis11"/>
              <w:jc w:val="both"/>
              <w:rPr>
                <w:rFonts w:ascii="Arial" w:hAnsi="Arial" w:cs="Arial"/>
                <w:lang w:val="es-ES"/>
              </w:rPr>
            </w:pPr>
          </w:p>
          <w:p w14:paraId="139BA6FB" w14:textId="49E99B8C" w:rsidR="00F77DB8" w:rsidRPr="00CE0417" w:rsidRDefault="0095574F" w:rsidP="0095574F">
            <w:pPr>
              <w:pStyle w:val="Listavistosa-nfasis11"/>
              <w:jc w:val="both"/>
              <w:rPr>
                <w:rFonts w:ascii="Arial" w:hAnsi="Arial" w:cs="Arial"/>
              </w:rPr>
            </w:pPr>
            <w:r w:rsidRPr="00F931B0">
              <w:rPr>
                <w:rFonts w:ascii="Arial" w:hAnsi="Arial" w:cs="Arial"/>
                <w:lang w:val="es-ES"/>
              </w:rPr>
              <w:t>L</w:t>
            </w:r>
            <w:r w:rsidRPr="00F931B0">
              <w:rPr>
                <w:rFonts w:ascii="Arial" w:hAnsi="Arial" w:cs="Arial"/>
              </w:rPr>
              <w:t>a expedición de la “Política de Gestión de Espectro 2025-2029” n</w:t>
            </w:r>
            <w:r w:rsidR="00B16AAF" w:rsidRPr="00F931B0">
              <w:rPr>
                <w:rFonts w:ascii="Arial" w:hAnsi="Arial" w:cs="Arial"/>
              </w:rPr>
              <w:t xml:space="preserve">o </w:t>
            </w:r>
            <w:r w:rsidRPr="00F931B0">
              <w:rPr>
                <w:rFonts w:ascii="Arial" w:hAnsi="Arial" w:cs="Arial"/>
              </w:rPr>
              <w:t xml:space="preserve">requiere </w:t>
            </w:r>
            <w:r w:rsidR="00B16AAF" w:rsidRPr="00F931B0">
              <w:rPr>
                <w:rFonts w:ascii="Arial" w:hAnsi="Arial" w:cs="Arial"/>
              </w:rPr>
              <w:t>disponibilidad presupuestal</w:t>
            </w:r>
            <w:r w:rsidRPr="00F931B0">
              <w:rPr>
                <w:rFonts w:ascii="Arial" w:hAnsi="Arial" w:cs="Arial"/>
              </w:rPr>
              <w:t>.</w:t>
            </w:r>
          </w:p>
        </w:tc>
      </w:tr>
      <w:tr w:rsidR="00910A2B" w:rsidRPr="00CE0417"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1D5B47B5" w14:textId="77777777" w:rsidR="00DF60FD" w:rsidRPr="00CE0417" w:rsidRDefault="00DF60FD" w:rsidP="00D05B67">
            <w:pPr>
              <w:numPr>
                <w:ilvl w:val="0"/>
                <w:numId w:val="45"/>
              </w:numPr>
              <w:jc w:val="both"/>
              <w:rPr>
                <w:rFonts w:cs="Arial"/>
                <w:b/>
                <w:sz w:val="22"/>
                <w:szCs w:val="22"/>
              </w:rPr>
            </w:pPr>
            <w:r w:rsidRPr="00CE0417">
              <w:rPr>
                <w:rFonts w:cs="Arial"/>
                <w:b/>
                <w:sz w:val="22"/>
                <w:szCs w:val="22"/>
              </w:rPr>
              <w:t xml:space="preserve"> IMPACTO MEDIOAMBIENTAL O SOBRE EL PATRIMONIO CULTURAL DE LA NACIÓN </w:t>
            </w:r>
            <w:r w:rsidR="00D05B67" w:rsidRPr="00CE0417">
              <w:rPr>
                <w:rFonts w:cs="Arial"/>
                <w:sz w:val="22"/>
                <w:szCs w:val="22"/>
              </w:rPr>
              <w:t>(Si se requiere)</w:t>
            </w:r>
          </w:p>
          <w:p w14:paraId="7045F36B" w14:textId="7E2AFDD3" w:rsidR="00EC0349" w:rsidRPr="00F931B0" w:rsidRDefault="00B16AAF" w:rsidP="00696582">
            <w:pPr>
              <w:ind w:left="778"/>
              <w:jc w:val="both"/>
              <w:rPr>
                <w:rFonts w:cs="Arial"/>
                <w:sz w:val="22"/>
                <w:szCs w:val="22"/>
              </w:rPr>
            </w:pPr>
            <w:r w:rsidRPr="00F931B0">
              <w:rPr>
                <w:rFonts w:cs="Arial"/>
                <w:sz w:val="22"/>
                <w:szCs w:val="22"/>
              </w:rPr>
              <w:t>No aplica</w:t>
            </w:r>
            <w:r w:rsidR="00F07D04">
              <w:rPr>
                <w:rFonts w:cs="Arial"/>
                <w:sz w:val="22"/>
                <w:szCs w:val="22"/>
              </w:rPr>
              <w:t>,</w:t>
            </w:r>
            <w:r w:rsidR="0070247E" w:rsidRPr="00F931B0">
              <w:rPr>
                <w:rFonts w:cs="Arial"/>
                <w:sz w:val="22"/>
                <w:szCs w:val="22"/>
              </w:rPr>
              <w:t xml:space="preserve"> la expedición de la “Política de Gestión de Espectro 2025-2029” </w:t>
            </w:r>
            <w:r w:rsidR="00EC0349" w:rsidRPr="00F931B0">
              <w:rPr>
                <w:rFonts w:cs="Arial"/>
                <w:sz w:val="22"/>
                <w:szCs w:val="22"/>
              </w:rPr>
              <w:t xml:space="preserve">no tiene un impacto medioambiental o sobre el patrimonio cultural de la nación. </w:t>
            </w:r>
          </w:p>
          <w:p w14:paraId="49D2B544" w14:textId="77777777" w:rsidR="00696582" w:rsidRPr="00CE0417" w:rsidRDefault="00696582" w:rsidP="00EC0349">
            <w:pPr>
              <w:jc w:val="both"/>
              <w:rPr>
                <w:rFonts w:cs="Arial"/>
                <w:b/>
                <w:sz w:val="22"/>
                <w:szCs w:val="22"/>
              </w:rPr>
            </w:pPr>
          </w:p>
        </w:tc>
      </w:tr>
      <w:tr w:rsidR="00910A2B" w:rsidRPr="00CE0417"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77777777" w:rsidR="00D05B67" w:rsidRPr="00CE0417" w:rsidRDefault="00D05B67" w:rsidP="00696582">
            <w:pPr>
              <w:numPr>
                <w:ilvl w:val="0"/>
                <w:numId w:val="45"/>
              </w:numPr>
              <w:jc w:val="both"/>
              <w:rPr>
                <w:rFonts w:cs="Arial"/>
                <w:sz w:val="22"/>
                <w:szCs w:val="22"/>
              </w:rPr>
            </w:pPr>
            <w:r w:rsidRPr="00CE0417">
              <w:rPr>
                <w:rFonts w:cs="Arial"/>
                <w:b/>
                <w:sz w:val="22"/>
                <w:szCs w:val="22"/>
              </w:rPr>
              <w:t>ESTUDIOS TÉCNICOS QUE SUSTENTEN EL PROYECTO NORMATIVO</w:t>
            </w:r>
            <w:r w:rsidRPr="00CE0417">
              <w:rPr>
                <w:rFonts w:cs="Arial"/>
                <w:sz w:val="22"/>
                <w:szCs w:val="22"/>
              </w:rPr>
              <w:t xml:space="preserve"> (Si cuenta con ellos)</w:t>
            </w:r>
            <w:r w:rsidR="00696582" w:rsidRPr="00CE0417">
              <w:rPr>
                <w:rFonts w:cs="Arial"/>
                <w:sz w:val="22"/>
                <w:szCs w:val="22"/>
              </w:rPr>
              <w:t xml:space="preserve"> </w:t>
            </w:r>
          </w:p>
        </w:tc>
      </w:tr>
      <w:tr w:rsidR="00910A2B" w:rsidRPr="00CE0417"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29F1B0DD" w:rsidR="00843EFF" w:rsidRPr="00CE0417" w:rsidRDefault="00B16AAF" w:rsidP="00EC0349">
            <w:pPr>
              <w:ind w:left="778"/>
              <w:jc w:val="both"/>
              <w:rPr>
                <w:rFonts w:cs="Arial"/>
                <w:b/>
                <w:sz w:val="22"/>
                <w:szCs w:val="22"/>
              </w:rPr>
            </w:pPr>
            <w:r w:rsidRPr="00F931B0">
              <w:rPr>
                <w:rFonts w:cs="Arial"/>
                <w:sz w:val="22"/>
                <w:szCs w:val="22"/>
              </w:rPr>
              <w:lastRenderedPageBreak/>
              <w:t>No aplica</w:t>
            </w:r>
            <w:r w:rsidRPr="00CE0417">
              <w:rPr>
                <w:rFonts w:cs="Arial"/>
                <w:b/>
                <w:sz w:val="22"/>
                <w:szCs w:val="22"/>
              </w:rPr>
              <w:t xml:space="preserve"> </w:t>
            </w:r>
          </w:p>
        </w:tc>
      </w:tr>
      <w:tr w:rsidR="00910A2B" w:rsidRPr="00CE0417" w14:paraId="06548953"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66686F6" w14:textId="77777777" w:rsidR="00DF60FD" w:rsidRPr="00CE0417" w:rsidRDefault="00DF60FD" w:rsidP="00F55DC4">
            <w:pPr>
              <w:jc w:val="both"/>
              <w:rPr>
                <w:rFonts w:cs="Arial"/>
                <w:sz w:val="22"/>
                <w:szCs w:val="22"/>
              </w:rPr>
            </w:pPr>
          </w:p>
        </w:tc>
      </w:tr>
      <w:tr w:rsidR="00910A2B" w:rsidRPr="00CE0417" w14:paraId="48EE83C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7424F596" w14:textId="77777777" w:rsidR="00DF60FD" w:rsidRPr="00CE0417" w:rsidRDefault="00DF60FD" w:rsidP="00A161B9">
            <w:pPr>
              <w:rPr>
                <w:rFonts w:cs="Arial"/>
                <w:sz w:val="22"/>
                <w:szCs w:val="22"/>
              </w:rPr>
            </w:pPr>
          </w:p>
        </w:tc>
      </w:tr>
      <w:tr w:rsidR="00910A2B" w:rsidRPr="00CE0417" w14:paraId="73EBA1B1"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01429F73" w14:textId="77777777" w:rsidR="00DF60FD" w:rsidRPr="00CE0417" w:rsidRDefault="00DF60FD" w:rsidP="00F55DC4">
            <w:pPr>
              <w:jc w:val="both"/>
              <w:rPr>
                <w:rFonts w:cs="Arial"/>
                <w:sz w:val="22"/>
                <w:szCs w:val="22"/>
              </w:rPr>
            </w:pPr>
          </w:p>
        </w:tc>
      </w:tr>
      <w:tr w:rsidR="00910A2B" w:rsidRPr="00CE0417" w14:paraId="6D3320A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31A6F5DE" w14:textId="77777777" w:rsidR="00DF60FD" w:rsidRPr="00CE0417" w:rsidRDefault="00DF60FD" w:rsidP="00C7294E">
            <w:pPr>
              <w:jc w:val="center"/>
              <w:rPr>
                <w:rFonts w:cs="Arial"/>
                <w:sz w:val="22"/>
                <w:szCs w:val="22"/>
              </w:rPr>
            </w:pPr>
          </w:p>
        </w:tc>
      </w:tr>
      <w:tr w:rsidR="00910A2B" w:rsidRPr="00CE0417" w14:paraId="24E12D6C"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79CE03" w14:textId="77777777" w:rsidR="00DF60FD" w:rsidRPr="00CE0417" w:rsidRDefault="00DF60FD" w:rsidP="00843EFF">
            <w:pPr>
              <w:jc w:val="center"/>
              <w:rPr>
                <w:rFonts w:cs="Arial"/>
                <w:sz w:val="22"/>
                <w:szCs w:val="22"/>
                <w:u w:val="single"/>
              </w:rPr>
            </w:pPr>
          </w:p>
        </w:tc>
      </w:tr>
      <w:tr w:rsidR="00910A2B" w:rsidRPr="00CE0417"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CE0417" w:rsidRDefault="00DF60FD" w:rsidP="00696582">
            <w:pPr>
              <w:jc w:val="center"/>
              <w:rPr>
                <w:rFonts w:cs="Arial"/>
                <w:sz w:val="22"/>
                <w:szCs w:val="22"/>
              </w:rPr>
            </w:pPr>
            <w:r w:rsidRPr="00CE0417">
              <w:rPr>
                <w:rFonts w:cs="Arial"/>
                <w:b/>
                <w:sz w:val="22"/>
                <w:szCs w:val="22"/>
              </w:rPr>
              <w:t>ANEXOS</w:t>
            </w:r>
            <w:r w:rsidR="00D05B67" w:rsidRPr="00CE0417">
              <w:rPr>
                <w:rFonts w:cs="Arial"/>
                <w:b/>
                <w:sz w:val="22"/>
                <w:szCs w:val="22"/>
              </w:rPr>
              <w:t>:</w:t>
            </w:r>
            <w:r w:rsidR="00696582" w:rsidRPr="00CE0417">
              <w:rPr>
                <w:rFonts w:cs="Arial"/>
                <w:sz w:val="22"/>
                <w:szCs w:val="22"/>
              </w:rPr>
              <w:t xml:space="preserve"> </w:t>
            </w:r>
          </w:p>
        </w:tc>
      </w:tr>
      <w:tr w:rsidR="00910A2B" w:rsidRPr="00CE0417"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D05B67" w:rsidRPr="00CE0417" w:rsidRDefault="00D05B67" w:rsidP="00D05B67">
            <w:pPr>
              <w:jc w:val="both"/>
              <w:rPr>
                <w:rFonts w:cs="Arial"/>
                <w:sz w:val="22"/>
                <w:szCs w:val="22"/>
              </w:rPr>
            </w:pPr>
            <w:r w:rsidRPr="00CE0417">
              <w:rPr>
                <w:rFonts w:cs="Arial"/>
                <w:sz w:val="22"/>
                <w:szCs w:val="22"/>
              </w:rPr>
              <w:t xml:space="preserve">Certificación de cumplimiento de requisitos de consulta, publicidad y de incorporación en la agenda regulatoria </w:t>
            </w:r>
          </w:p>
          <w:p w14:paraId="15E83C89" w14:textId="77777777" w:rsidR="00D05B67" w:rsidRPr="00F931B0" w:rsidRDefault="00D05B67" w:rsidP="00D05B67">
            <w:pPr>
              <w:jc w:val="both"/>
              <w:rPr>
                <w:rFonts w:cs="Arial"/>
                <w:sz w:val="22"/>
                <w:szCs w:val="22"/>
              </w:rPr>
            </w:pPr>
            <w:r w:rsidRPr="00F931B0">
              <w:rPr>
                <w:rFonts w:cs="Arial"/>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6017338D" w:rsidR="00D05B67" w:rsidRPr="00F931B0" w:rsidRDefault="009D4ADE" w:rsidP="00D05B67">
            <w:pPr>
              <w:jc w:val="both"/>
              <w:rPr>
                <w:rFonts w:cs="Arial"/>
                <w:sz w:val="22"/>
                <w:szCs w:val="22"/>
              </w:rPr>
            </w:pPr>
            <w:r w:rsidRPr="00F931B0">
              <w:rPr>
                <w:rFonts w:cs="Arial"/>
                <w:sz w:val="22"/>
                <w:szCs w:val="22"/>
              </w:rPr>
              <w:t>No aplica</w:t>
            </w:r>
          </w:p>
        </w:tc>
      </w:tr>
      <w:tr w:rsidR="00910A2B" w:rsidRPr="00CE0417"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D05B67" w:rsidRPr="00CE0417" w:rsidRDefault="00D05B67" w:rsidP="00D05B67">
            <w:pPr>
              <w:jc w:val="both"/>
              <w:rPr>
                <w:rFonts w:cs="Arial"/>
                <w:sz w:val="22"/>
                <w:szCs w:val="22"/>
              </w:rPr>
            </w:pPr>
            <w:r w:rsidRPr="00CE0417">
              <w:rPr>
                <w:rFonts w:cs="Arial"/>
                <w:sz w:val="22"/>
                <w:szCs w:val="22"/>
              </w:rPr>
              <w:t>Concepto</w:t>
            </w:r>
            <w:r w:rsidR="005F30C3" w:rsidRPr="00CE0417">
              <w:rPr>
                <w:rFonts w:cs="Arial"/>
                <w:sz w:val="22"/>
                <w:szCs w:val="22"/>
              </w:rPr>
              <w:t>(s)</w:t>
            </w:r>
            <w:r w:rsidRPr="00CE0417">
              <w:rPr>
                <w:rFonts w:cs="Arial"/>
                <w:sz w:val="22"/>
                <w:szCs w:val="22"/>
              </w:rPr>
              <w:t xml:space="preserve"> de Min</w:t>
            </w:r>
            <w:r w:rsidR="005F30C3" w:rsidRPr="00CE0417">
              <w:rPr>
                <w:rFonts w:cs="Arial"/>
                <w:sz w:val="22"/>
                <w:szCs w:val="22"/>
              </w:rPr>
              <w:t>isterio de</w:t>
            </w:r>
            <w:r w:rsidRPr="00CE0417">
              <w:rPr>
                <w:rFonts w:cs="Arial"/>
                <w:sz w:val="22"/>
                <w:szCs w:val="22"/>
              </w:rPr>
              <w:t xml:space="preserve"> Comercio</w:t>
            </w:r>
            <w:r w:rsidR="005F30C3" w:rsidRPr="00CE0417">
              <w:rPr>
                <w:rFonts w:cs="Arial"/>
                <w:sz w:val="22"/>
                <w:szCs w:val="22"/>
              </w:rPr>
              <w:t>, Industria y Turismo</w:t>
            </w:r>
          </w:p>
          <w:p w14:paraId="270C7AB5" w14:textId="77777777" w:rsidR="00D05B67" w:rsidRPr="00F931B0" w:rsidRDefault="005F30C3" w:rsidP="00D05B67">
            <w:pPr>
              <w:jc w:val="both"/>
              <w:rPr>
                <w:rFonts w:cs="Arial"/>
                <w:sz w:val="22"/>
                <w:szCs w:val="22"/>
              </w:rPr>
            </w:pPr>
            <w:r w:rsidRPr="00F931B0">
              <w:rPr>
                <w:rFonts w:cs="Arial"/>
                <w:sz w:val="22"/>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6EA15E18" w:rsidR="00D05B67" w:rsidRPr="00CE0417" w:rsidRDefault="000668A1" w:rsidP="00D05B67">
            <w:pPr>
              <w:jc w:val="both"/>
              <w:rPr>
                <w:rFonts w:cs="Arial"/>
                <w:sz w:val="22"/>
                <w:szCs w:val="22"/>
              </w:rPr>
            </w:pPr>
            <w:r w:rsidRPr="00F931B0">
              <w:rPr>
                <w:rFonts w:cs="Arial"/>
                <w:sz w:val="22"/>
                <w:szCs w:val="22"/>
              </w:rPr>
              <w:t xml:space="preserve">No aplica </w:t>
            </w:r>
          </w:p>
        </w:tc>
      </w:tr>
      <w:tr w:rsidR="00910A2B" w:rsidRPr="00CE0417"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Pr="00CE0417" w:rsidRDefault="005F30C3" w:rsidP="00D05B67">
            <w:pPr>
              <w:jc w:val="both"/>
              <w:rPr>
                <w:rFonts w:cs="Arial"/>
                <w:sz w:val="22"/>
                <w:szCs w:val="22"/>
              </w:rPr>
            </w:pPr>
            <w:r w:rsidRPr="00CE0417">
              <w:rPr>
                <w:rFonts w:cs="Arial"/>
                <w:sz w:val="22"/>
                <w:szCs w:val="22"/>
              </w:rPr>
              <w:t xml:space="preserve">Informe de observaciones y respuestas </w:t>
            </w:r>
          </w:p>
          <w:p w14:paraId="4E1961C8" w14:textId="77777777" w:rsidR="005F30C3" w:rsidRPr="00F931B0" w:rsidRDefault="005F30C3" w:rsidP="00D05B67">
            <w:pPr>
              <w:jc w:val="both"/>
              <w:rPr>
                <w:rFonts w:cs="Arial"/>
                <w:sz w:val="22"/>
                <w:szCs w:val="22"/>
              </w:rPr>
            </w:pPr>
            <w:r w:rsidRPr="00F931B0">
              <w:rPr>
                <w:rFonts w:cs="Arial"/>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5CC07000" w:rsidR="005F30C3" w:rsidRPr="00CE0417" w:rsidRDefault="00D874A3" w:rsidP="00D05B67">
            <w:pPr>
              <w:jc w:val="both"/>
              <w:rPr>
                <w:rFonts w:cs="Arial"/>
                <w:sz w:val="22"/>
                <w:szCs w:val="22"/>
              </w:rPr>
            </w:pPr>
            <w:r w:rsidRPr="00F931B0">
              <w:rPr>
                <w:rFonts w:cs="Arial"/>
                <w:sz w:val="22"/>
                <w:szCs w:val="22"/>
              </w:rPr>
              <w:t>X</w:t>
            </w:r>
          </w:p>
        </w:tc>
      </w:tr>
      <w:tr w:rsidR="00910A2B" w:rsidRPr="00CE0417"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5F30C3" w:rsidRPr="00CE0417" w:rsidRDefault="005F30C3" w:rsidP="00D05B67">
            <w:pPr>
              <w:jc w:val="both"/>
              <w:rPr>
                <w:rFonts w:cs="Arial"/>
                <w:sz w:val="22"/>
                <w:szCs w:val="22"/>
              </w:rPr>
            </w:pPr>
            <w:r w:rsidRPr="00CE0417">
              <w:rPr>
                <w:rFonts w:cs="Arial"/>
                <w:sz w:val="22"/>
                <w:szCs w:val="22"/>
              </w:rPr>
              <w:t>Concepto de Abogacía de la Competencia de la Superintendencia de Industria y Comercio</w:t>
            </w:r>
          </w:p>
          <w:p w14:paraId="364EFEA6" w14:textId="77777777" w:rsidR="005F30C3" w:rsidRPr="00F931B0" w:rsidRDefault="005F30C3" w:rsidP="00D05B67">
            <w:pPr>
              <w:jc w:val="both"/>
              <w:rPr>
                <w:rFonts w:cs="Arial"/>
                <w:sz w:val="22"/>
                <w:szCs w:val="22"/>
              </w:rPr>
            </w:pPr>
            <w:r w:rsidRPr="00F931B0">
              <w:rPr>
                <w:rFonts w:cs="Arial"/>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55965A83" w:rsidR="005F30C3" w:rsidRPr="00CE0417" w:rsidRDefault="00D874A3" w:rsidP="00D05B67">
            <w:pPr>
              <w:jc w:val="both"/>
              <w:rPr>
                <w:rFonts w:cs="Arial"/>
                <w:sz w:val="22"/>
                <w:szCs w:val="22"/>
              </w:rPr>
            </w:pPr>
            <w:r w:rsidRPr="00F931B0">
              <w:rPr>
                <w:rFonts w:cs="Arial"/>
                <w:sz w:val="22"/>
                <w:szCs w:val="22"/>
              </w:rPr>
              <w:t>No aplica</w:t>
            </w:r>
          </w:p>
        </w:tc>
      </w:tr>
      <w:tr w:rsidR="00910A2B" w:rsidRPr="00CE0417"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5F30C3" w:rsidRPr="00CE0417" w:rsidRDefault="005F30C3" w:rsidP="00D05B67">
            <w:pPr>
              <w:jc w:val="both"/>
              <w:rPr>
                <w:rFonts w:cs="Arial"/>
                <w:sz w:val="22"/>
                <w:szCs w:val="22"/>
              </w:rPr>
            </w:pPr>
            <w:r w:rsidRPr="00CE0417">
              <w:rPr>
                <w:rFonts w:cs="Arial"/>
                <w:sz w:val="22"/>
                <w:szCs w:val="22"/>
              </w:rPr>
              <w:t>Concepto de aprobación nuevos trámites del Departamento Administrativo de la Función Pública</w:t>
            </w:r>
          </w:p>
          <w:p w14:paraId="1DFA88C0" w14:textId="77777777" w:rsidR="005F30C3" w:rsidRPr="00CE0417" w:rsidRDefault="005F30C3" w:rsidP="00D05B67">
            <w:pPr>
              <w:jc w:val="both"/>
              <w:rPr>
                <w:rFonts w:cs="Arial"/>
                <w:sz w:val="22"/>
                <w:szCs w:val="22"/>
              </w:rPr>
            </w:pPr>
            <w:r w:rsidRPr="00F931B0">
              <w:rPr>
                <w:rFonts w:cs="Arial"/>
                <w:sz w:val="22"/>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2DE39419" w:rsidR="005F30C3" w:rsidRPr="00CE0417" w:rsidRDefault="009D4ADE" w:rsidP="00D05B67">
            <w:pPr>
              <w:jc w:val="both"/>
              <w:rPr>
                <w:rFonts w:cs="Arial"/>
                <w:sz w:val="22"/>
                <w:szCs w:val="22"/>
              </w:rPr>
            </w:pPr>
            <w:r w:rsidRPr="00F931B0">
              <w:rPr>
                <w:rFonts w:cs="Arial"/>
                <w:sz w:val="22"/>
                <w:szCs w:val="22"/>
              </w:rPr>
              <w:t xml:space="preserve">No aplica </w:t>
            </w:r>
          </w:p>
        </w:tc>
      </w:tr>
      <w:tr w:rsidR="00910A2B" w:rsidRPr="00CE0417"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5F30C3" w:rsidRPr="00CE0417" w:rsidRDefault="005F30C3" w:rsidP="00084B49">
            <w:pPr>
              <w:jc w:val="both"/>
              <w:rPr>
                <w:rFonts w:cs="Arial"/>
                <w:sz w:val="22"/>
                <w:szCs w:val="22"/>
              </w:rPr>
            </w:pPr>
            <w:r w:rsidRPr="00CE0417">
              <w:rPr>
                <w:rFonts w:cs="Arial"/>
                <w:sz w:val="22"/>
                <w:szCs w:val="22"/>
              </w:rPr>
              <w:t xml:space="preserve">Otro </w:t>
            </w:r>
          </w:p>
          <w:p w14:paraId="73A3BDE5" w14:textId="77777777" w:rsidR="005F30C3" w:rsidRPr="00CE0417" w:rsidRDefault="005F30C3" w:rsidP="00084B49">
            <w:pPr>
              <w:jc w:val="both"/>
              <w:rPr>
                <w:rFonts w:cs="Arial"/>
                <w:sz w:val="22"/>
                <w:szCs w:val="22"/>
              </w:rPr>
            </w:pPr>
            <w:r w:rsidRPr="00F931B0">
              <w:rPr>
                <w:rFonts w:cs="Arial"/>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6BB8FF30" w14:textId="5624CDB3" w:rsidR="005F30C3" w:rsidRPr="00CE0417" w:rsidRDefault="00C066DD" w:rsidP="00D05B67">
            <w:pPr>
              <w:jc w:val="both"/>
              <w:rPr>
                <w:rFonts w:cs="Arial"/>
                <w:sz w:val="22"/>
                <w:szCs w:val="22"/>
              </w:rPr>
            </w:pPr>
            <w:r w:rsidRPr="00F931B0">
              <w:rPr>
                <w:rFonts w:cs="Arial"/>
                <w:sz w:val="22"/>
                <w:szCs w:val="22"/>
              </w:rPr>
              <w:t>No aplica</w:t>
            </w:r>
          </w:p>
        </w:tc>
      </w:tr>
    </w:tbl>
    <w:p w14:paraId="56E6101F" w14:textId="77777777" w:rsidR="00301DC2" w:rsidRPr="00CE0417" w:rsidRDefault="00301DC2" w:rsidP="00587695">
      <w:pPr>
        <w:ind w:right="-377"/>
        <w:jc w:val="both"/>
        <w:rPr>
          <w:rFonts w:cs="Arial"/>
          <w:sz w:val="22"/>
          <w:szCs w:val="22"/>
        </w:rPr>
      </w:pPr>
    </w:p>
    <w:p w14:paraId="53055E4F" w14:textId="5C5CC175" w:rsidR="00B66D03" w:rsidRPr="00CE0417" w:rsidRDefault="000B30A6" w:rsidP="00696582">
      <w:pPr>
        <w:ind w:left="-1276" w:right="-377" w:firstLine="283"/>
        <w:jc w:val="both"/>
        <w:rPr>
          <w:rFonts w:cs="Arial"/>
          <w:b/>
          <w:sz w:val="22"/>
          <w:szCs w:val="22"/>
        </w:rPr>
      </w:pPr>
      <w:r w:rsidRPr="00CE0417">
        <w:rPr>
          <w:rFonts w:cs="Arial"/>
          <w:b/>
          <w:sz w:val="22"/>
          <w:szCs w:val="22"/>
        </w:rPr>
        <w:t>Aprobó</w:t>
      </w:r>
      <w:r w:rsidR="00CB4D37" w:rsidRPr="00CE0417">
        <w:rPr>
          <w:rFonts w:cs="Arial"/>
          <w:b/>
          <w:sz w:val="22"/>
          <w:szCs w:val="22"/>
        </w:rPr>
        <w:t>:</w:t>
      </w:r>
      <w:r w:rsidR="00B2322E" w:rsidRPr="00CE0417">
        <w:rPr>
          <w:rFonts w:cs="Arial"/>
          <w:b/>
          <w:sz w:val="22"/>
          <w:szCs w:val="22"/>
        </w:rPr>
        <w:tab/>
      </w:r>
      <w:r w:rsidR="00B2322E" w:rsidRPr="00CE0417">
        <w:rPr>
          <w:rFonts w:cs="Arial"/>
          <w:b/>
          <w:sz w:val="22"/>
          <w:szCs w:val="22"/>
        </w:rPr>
        <w:tab/>
      </w:r>
    </w:p>
    <w:p w14:paraId="1FB08C8D" w14:textId="77777777" w:rsidR="00C066DD" w:rsidRPr="00CE0417" w:rsidRDefault="00C066DD" w:rsidP="00696582">
      <w:pPr>
        <w:ind w:left="-1276" w:right="-377" w:firstLine="283"/>
        <w:jc w:val="both"/>
        <w:rPr>
          <w:rFonts w:cs="Arial"/>
          <w:b/>
          <w:sz w:val="22"/>
          <w:szCs w:val="22"/>
        </w:rPr>
      </w:pPr>
    </w:p>
    <w:p w14:paraId="5E1CF1C3" w14:textId="42812E85" w:rsidR="007C5B91" w:rsidRPr="00CE0417" w:rsidRDefault="00C066DD" w:rsidP="007C5B91">
      <w:pPr>
        <w:pStyle w:val="Listavistosa-nfasis11"/>
        <w:jc w:val="both"/>
        <w:rPr>
          <w:rFonts w:ascii="Arial" w:hAnsi="Arial" w:cs="Arial"/>
          <w:b/>
          <w:u w:val="single"/>
        </w:rPr>
      </w:pPr>
      <w:r w:rsidRPr="00CE0417">
        <w:rPr>
          <w:rFonts w:ascii="Arial" w:hAnsi="Arial" w:cs="Arial"/>
          <w:b/>
          <w:u w:val="single"/>
        </w:rPr>
        <w:t>Firmado digitalmente</w:t>
      </w:r>
    </w:p>
    <w:p w14:paraId="47E55FE0" w14:textId="429CC9A7" w:rsidR="00B2322E" w:rsidRPr="00CE0417" w:rsidRDefault="00B2322E" w:rsidP="00696582">
      <w:pPr>
        <w:pStyle w:val="Listavistosa-nfasis11"/>
        <w:rPr>
          <w:rFonts w:ascii="Arial" w:hAnsi="Arial" w:cs="Arial"/>
          <w:b/>
          <w:lang w:val="pt-PT"/>
        </w:rPr>
      </w:pPr>
      <w:r w:rsidRPr="00CE0417">
        <w:rPr>
          <w:rFonts w:ascii="Arial" w:hAnsi="Arial" w:cs="Arial"/>
          <w:b/>
          <w:lang w:val="pt-PT"/>
        </w:rPr>
        <w:t>Paola Elvira Thiriat Tovar</w:t>
      </w:r>
    </w:p>
    <w:p w14:paraId="68A1D217" w14:textId="4730619D" w:rsidR="00D05B67" w:rsidRPr="00CE0417" w:rsidRDefault="00B2322E" w:rsidP="00696582">
      <w:pPr>
        <w:pStyle w:val="Listavistosa-nfasis11"/>
        <w:rPr>
          <w:rFonts w:ascii="Arial" w:hAnsi="Arial" w:cs="Arial"/>
          <w:b/>
        </w:rPr>
      </w:pPr>
      <w:r w:rsidRPr="00CE0417">
        <w:rPr>
          <w:rFonts w:ascii="Arial" w:hAnsi="Arial" w:cs="Arial"/>
          <w:b/>
          <w:lang w:val="pt-PT"/>
        </w:rPr>
        <w:t xml:space="preserve">Directora de </w:t>
      </w:r>
      <w:r w:rsidRPr="00CE0417">
        <w:rPr>
          <w:rFonts w:ascii="Arial" w:hAnsi="Arial" w:cs="Arial"/>
          <w:b/>
        </w:rPr>
        <w:t>Industria de Comunicaciones</w:t>
      </w:r>
      <w:r w:rsidR="00C066DD" w:rsidRPr="00CE0417">
        <w:rPr>
          <w:rFonts w:ascii="Arial" w:hAnsi="Arial" w:cs="Arial"/>
          <w:b/>
        </w:rPr>
        <w:t xml:space="preserve"> (E)</w:t>
      </w:r>
    </w:p>
    <w:p w14:paraId="2305B046" w14:textId="77777777" w:rsidR="00D05B67" w:rsidRPr="00CE0417" w:rsidRDefault="00D05B67" w:rsidP="00696582">
      <w:pPr>
        <w:pStyle w:val="Listavistosa-nfasis11"/>
        <w:rPr>
          <w:rFonts w:ascii="Arial" w:hAnsi="Arial" w:cs="Arial"/>
          <w:b/>
        </w:rPr>
      </w:pPr>
    </w:p>
    <w:p w14:paraId="28621C35" w14:textId="77777777" w:rsidR="00C066DD" w:rsidRPr="00CE0417" w:rsidRDefault="00C066DD" w:rsidP="00C066DD">
      <w:pPr>
        <w:pStyle w:val="Listavistosa-nfasis11"/>
        <w:jc w:val="both"/>
        <w:rPr>
          <w:rFonts w:ascii="Arial" w:hAnsi="Arial" w:cs="Arial"/>
          <w:b/>
          <w:u w:val="single"/>
        </w:rPr>
      </w:pPr>
      <w:r w:rsidRPr="00CE0417">
        <w:rPr>
          <w:rFonts w:ascii="Arial" w:hAnsi="Arial" w:cs="Arial"/>
          <w:b/>
          <w:u w:val="single"/>
        </w:rPr>
        <w:t>Firmado digitalmente</w:t>
      </w:r>
    </w:p>
    <w:p w14:paraId="46C2D0FA" w14:textId="77777777" w:rsidR="00B2322E" w:rsidRPr="00CE0417" w:rsidRDefault="00B2322E" w:rsidP="00B2322E">
      <w:pPr>
        <w:pStyle w:val="Listavistosa-nfasis11"/>
        <w:jc w:val="both"/>
        <w:rPr>
          <w:rFonts w:ascii="Arial" w:hAnsi="Arial" w:cs="Arial"/>
          <w:b/>
          <w:lang w:val="pt-PT"/>
        </w:rPr>
      </w:pPr>
      <w:r w:rsidRPr="00CE0417">
        <w:rPr>
          <w:rFonts w:ascii="Arial" w:hAnsi="Arial" w:cs="Arial"/>
          <w:b/>
          <w:lang w:val="pt-PT"/>
        </w:rPr>
        <w:t>Ruby Ruth Ramírez Medina</w:t>
      </w:r>
    </w:p>
    <w:p w14:paraId="66205615" w14:textId="3D722971" w:rsidR="00366F75" w:rsidRPr="00CE0417" w:rsidRDefault="00366F75" w:rsidP="00366F75">
      <w:pPr>
        <w:pStyle w:val="Listavistosa-nfasis11"/>
        <w:rPr>
          <w:rFonts w:ascii="Arial" w:hAnsi="Arial" w:cs="Arial"/>
          <w:b/>
        </w:rPr>
      </w:pPr>
      <w:r w:rsidRPr="00CE0417">
        <w:rPr>
          <w:rFonts w:ascii="Arial" w:hAnsi="Arial" w:cs="Arial"/>
          <w:b/>
        </w:rPr>
        <w:t>Director</w:t>
      </w:r>
      <w:r w:rsidR="00B2322E" w:rsidRPr="00CE0417">
        <w:rPr>
          <w:rFonts w:ascii="Arial" w:hAnsi="Arial" w:cs="Arial"/>
          <w:b/>
        </w:rPr>
        <w:t>a</w:t>
      </w:r>
      <w:r w:rsidRPr="00CE0417">
        <w:rPr>
          <w:rFonts w:ascii="Arial" w:hAnsi="Arial" w:cs="Arial"/>
          <w:b/>
        </w:rPr>
        <w:t xml:space="preserve"> Jurídic</w:t>
      </w:r>
      <w:r w:rsidR="00895C47" w:rsidRPr="00CE0417">
        <w:rPr>
          <w:rFonts w:ascii="Arial" w:hAnsi="Arial" w:cs="Arial"/>
          <w:b/>
        </w:rPr>
        <w:t>a</w:t>
      </w:r>
      <w:r w:rsidRPr="00CE0417">
        <w:rPr>
          <w:rFonts w:ascii="Arial" w:hAnsi="Arial" w:cs="Arial"/>
          <w:b/>
        </w:rPr>
        <w:t xml:space="preserve"> del MinTIC</w:t>
      </w:r>
    </w:p>
    <w:p w14:paraId="01934125" w14:textId="77777777" w:rsidR="00E0174F" w:rsidRPr="00CE0417" w:rsidRDefault="00E0174F" w:rsidP="00366F75">
      <w:pPr>
        <w:pStyle w:val="Listavistosa-nfasis11"/>
        <w:rPr>
          <w:rFonts w:ascii="Arial" w:hAnsi="Arial" w:cs="Arial"/>
          <w:b/>
        </w:rPr>
      </w:pPr>
    </w:p>
    <w:p w14:paraId="0936CFEF" w14:textId="2ECDD0F3" w:rsidR="00366F75" w:rsidRPr="00CE0417" w:rsidRDefault="00366F75" w:rsidP="00696582">
      <w:pPr>
        <w:pStyle w:val="Listavistosa-nfasis11"/>
        <w:rPr>
          <w:rFonts w:ascii="Arial" w:hAnsi="Arial" w:cs="Arial"/>
          <w:b/>
        </w:rPr>
      </w:pPr>
    </w:p>
    <w:sectPr w:rsidR="00366F75" w:rsidRPr="00CE0417" w:rsidSect="00F77DB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3585" w14:textId="77777777" w:rsidR="00E815D4" w:rsidRDefault="00E815D4">
      <w:r>
        <w:separator/>
      </w:r>
    </w:p>
  </w:endnote>
  <w:endnote w:type="continuationSeparator" w:id="0">
    <w:p w14:paraId="5925D3E1" w14:textId="77777777" w:rsidR="00E815D4" w:rsidRDefault="00E8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971" w14:textId="77777777" w:rsidR="00416865" w:rsidRDefault="004168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484" w14:textId="246E14A8" w:rsidR="00F77DB8" w:rsidRDefault="00F77DB8" w:rsidP="00F77DB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956" w14:textId="13516AA7" w:rsidR="00AF569A" w:rsidRDefault="00F77DB8" w:rsidP="003650D5">
    <w:pPr>
      <w:pStyle w:val="Piedepgina"/>
      <w:ind w:left="-709"/>
      <w:rPr>
        <w:rFonts w:ascii="Calibri" w:hAnsi="Calibri" w:cs="Calibri"/>
        <w:color w:val="000000"/>
      </w:rPr>
    </w:pP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1F09" w14:textId="77777777" w:rsidR="00E815D4" w:rsidRDefault="00E815D4">
      <w:r>
        <w:separator/>
      </w:r>
    </w:p>
  </w:footnote>
  <w:footnote w:type="continuationSeparator" w:id="0">
    <w:p w14:paraId="30F0495D" w14:textId="77777777" w:rsidR="00E815D4" w:rsidRDefault="00E8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A40" w14:textId="77777777" w:rsidR="00416865" w:rsidRDefault="004168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tcPr>
        <w:p w14:paraId="69C28DE1" w14:textId="716EAEEE" w:rsidR="008C703D" w:rsidRPr="00366F75" w:rsidRDefault="002B5285"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5"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4"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5"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1"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7642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235821">
    <w:abstractNumId w:val="7"/>
  </w:num>
  <w:num w:numId="3" w16cid:durableId="1114012470">
    <w:abstractNumId w:val="37"/>
  </w:num>
  <w:num w:numId="4" w16cid:durableId="1495878750">
    <w:abstractNumId w:val="8"/>
  </w:num>
  <w:num w:numId="5" w16cid:durableId="557397461">
    <w:abstractNumId w:val="16"/>
  </w:num>
  <w:num w:numId="6" w16cid:durableId="1452363128">
    <w:abstractNumId w:val="31"/>
  </w:num>
  <w:num w:numId="7" w16cid:durableId="2077507905">
    <w:abstractNumId w:val="9"/>
  </w:num>
  <w:num w:numId="8" w16cid:durableId="723873387">
    <w:abstractNumId w:val="17"/>
  </w:num>
  <w:num w:numId="9" w16cid:durableId="1274945304">
    <w:abstractNumId w:val="6"/>
  </w:num>
  <w:num w:numId="10" w16cid:durableId="1682467277">
    <w:abstractNumId w:val="21"/>
  </w:num>
  <w:num w:numId="11" w16cid:durableId="295569971">
    <w:abstractNumId w:val="13"/>
  </w:num>
  <w:num w:numId="12" w16cid:durableId="2041587928">
    <w:abstractNumId w:val="32"/>
  </w:num>
  <w:num w:numId="13" w16cid:durableId="1143962759">
    <w:abstractNumId w:val="38"/>
  </w:num>
  <w:num w:numId="14" w16cid:durableId="1810778263">
    <w:abstractNumId w:val="39"/>
  </w:num>
  <w:num w:numId="15" w16cid:durableId="203448388">
    <w:abstractNumId w:val="1"/>
  </w:num>
  <w:num w:numId="16" w16cid:durableId="330059455">
    <w:abstractNumId w:val="22"/>
  </w:num>
  <w:num w:numId="17" w16cid:durableId="1056273102">
    <w:abstractNumId w:val="4"/>
  </w:num>
  <w:num w:numId="18" w16cid:durableId="1453358682">
    <w:abstractNumId w:val="24"/>
  </w:num>
  <w:num w:numId="19" w16cid:durableId="1318607125">
    <w:abstractNumId w:val="27"/>
  </w:num>
  <w:num w:numId="20" w16cid:durableId="1493982206">
    <w:abstractNumId w:val="0"/>
  </w:num>
  <w:num w:numId="21" w16cid:durableId="1404764881">
    <w:abstractNumId w:val="10"/>
  </w:num>
  <w:num w:numId="22" w16cid:durableId="1919055955">
    <w:abstractNumId w:val="19"/>
  </w:num>
  <w:num w:numId="23" w16cid:durableId="83886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796250">
    <w:abstractNumId w:val="36"/>
  </w:num>
  <w:num w:numId="25" w16cid:durableId="1019695677">
    <w:abstractNumId w:val="11"/>
  </w:num>
  <w:num w:numId="26" w16cid:durableId="102964004">
    <w:abstractNumId w:val="29"/>
  </w:num>
  <w:num w:numId="27" w16cid:durableId="1155758818">
    <w:abstractNumId w:val="26"/>
  </w:num>
  <w:num w:numId="28" w16cid:durableId="2067606572">
    <w:abstractNumId w:val="40"/>
  </w:num>
  <w:num w:numId="29" w16cid:durableId="553347100">
    <w:abstractNumId w:val="1"/>
  </w:num>
  <w:num w:numId="30" w16cid:durableId="673649708">
    <w:abstractNumId w:val="42"/>
  </w:num>
  <w:num w:numId="31" w16cid:durableId="279722129">
    <w:abstractNumId w:val="23"/>
  </w:num>
  <w:num w:numId="32" w16cid:durableId="151995985">
    <w:abstractNumId w:val="35"/>
  </w:num>
  <w:num w:numId="33" w16cid:durableId="1907762944">
    <w:abstractNumId w:val="25"/>
  </w:num>
  <w:num w:numId="34" w16cid:durableId="299191416">
    <w:abstractNumId w:val="34"/>
  </w:num>
  <w:num w:numId="35" w16cid:durableId="525797091">
    <w:abstractNumId w:val="14"/>
  </w:num>
  <w:num w:numId="36" w16cid:durableId="467937655">
    <w:abstractNumId w:val="5"/>
  </w:num>
  <w:num w:numId="37" w16cid:durableId="966008284">
    <w:abstractNumId w:val="2"/>
  </w:num>
  <w:num w:numId="38" w16cid:durableId="1033503056">
    <w:abstractNumId w:val="28"/>
  </w:num>
  <w:num w:numId="39" w16cid:durableId="203366704">
    <w:abstractNumId w:val="33"/>
  </w:num>
  <w:num w:numId="40" w16cid:durableId="628248666">
    <w:abstractNumId w:val="15"/>
  </w:num>
  <w:num w:numId="41" w16cid:durableId="1310479933">
    <w:abstractNumId w:val="41"/>
  </w:num>
  <w:num w:numId="42" w16cid:durableId="1873301327">
    <w:abstractNumId w:val="18"/>
  </w:num>
  <w:num w:numId="43" w16cid:durableId="2075932516">
    <w:abstractNumId w:val="3"/>
  </w:num>
  <w:num w:numId="44" w16cid:durableId="1847743704">
    <w:abstractNumId w:val="12"/>
  </w:num>
  <w:num w:numId="45" w16cid:durableId="1570381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1317"/>
    <w:rsid w:val="000114EC"/>
    <w:rsid w:val="00013C42"/>
    <w:rsid w:val="00014D67"/>
    <w:rsid w:val="00016A94"/>
    <w:rsid w:val="00021205"/>
    <w:rsid w:val="00021FCC"/>
    <w:rsid w:val="00024F34"/>
    <w:rsid w:val="0002546A"/>
    <w:rsid w:val="00032CBF"/>
    <w:rsid w:val="0004205E"/>
    <w:rsid w:val="00046C85"/>
    <w:rsid w:val="00047A6E"/>
    <w:rsid w:val="00050524"/>
    <w:rsid w:val="00066463"/>
    <w:rsid w:val="000668A1"/>
    <w:rsid w:val="0007636F"/>
    <w:rsid w:val="00081CEE"/>
    <w:rsid w:val="00084B49"/>
    <w:rsid w:val="00086B16"/>
    <w:rsid w:val="00092C0A"/>
    <w:rsid w:val="00094D9F"/>
    <w:rsid w:val="000A35DA"/>
    <w:rsid w:val="000A3E34"/>
    <w:rsid w:val="000A4D46"/>
    <w:rsid w:val="000B26E5"/>
    <w:rsid w:val="000B30A6"/>
    <w:rsid w:val="000B39C5"/>
    <w:rsid w:val="000B50F1"/>
    <w:rsid w:val="000C41BE"/>
    <w:rsid w:val="000C614C"/>
    <w:rsid w:val="000C6C52"/>
    <w:rsid w:val="000D1904"/>
    <w:rsid w:val="000D2DA8"/>
    <w:rsid w:val="000D512E"/>
    <w:rsid w:val="000E0152"/>
    <w:rsid w:val="000E1C6F"/>
    <w:rsid w:val="000E3147"/>
    <w:rsid w:val="000E370D"/>
    <w:rsid w:val="000E65A4"/>
    <w:rsid w:val="000E7192"/>
    <w:rsid w:val="00105533"/>
    <w:rsid w:val="001072FB"/>
    <w:rsid w:val="00112EF1"/>
    <w:rsid w:val="00116659"/>
    <w:rsid w:val="001175AA"/>
    <w:rsid w:val="00125A3A"/>
    <w:rsid w:val="00126916"/>
    <w:rsid w:val="00126980"/>
    <w:rsid w:val="001303DD"/>
    <w:rsid w:val="001348DA"/>
    <w:rsid w:val="001365B5"/>
    <w:rsid w:val="00136CD0"/>
    <w:rsid w:val="0013737F"/>
    <w:rsid w:val="00142BF2"/>
    <w:rsid w:val="001447C1"/>
    <w:rsid w:val="00145BCA"/>
    <w:rsid w:val="0015216F"/>
    <w:rsid w:val="00153523"/>
    <w:rsid w:val="00157729"/>
    <w:rsid w:val="00164587"/>
    <w:rsid w:val="001665A3"/>
    <w:rsid w:val="00173095"/>
    <w:rsid w:val="001743EF"/>
    <w:rsid w:val="00174A31"/>
    <w:rsid w:val="00177232"/>
    <w:rsid w:val="00187186"/>
    <w:rsid w:val="001978EB"/>
    <w:rsid w:val="001A2AF1"/>
    <w:rsid w:val="001C013E"/>
    <w:rsid w:val="001D1743"/>
    <w:rsid w:val="001D17CF"/>
    <w:rsid w:val="001E2543"/>
    <w:rsid w:val="001E6C60"/>
    <w:rsid w:val="001F238A"/>
    <w:rsid w:val="002171A2"/>
    <w:rsid w:val="002217D1"/>
    <w:rsid w:val="00225294"/>
    <w:rsid w:val="002264B8"/>
    <w:rsid w:val="00235361"/>
    <w:rsid w:val="00236F62"/>
    <w:rsid w:val="00237D76"/>
    <w:rsid w:val="0024044A"/>
    <w:rsid w:val="00251FCE"/>
    <w:rsid w:val="00252F13"/>
    <w:rsid w:val="00254313"/>
    <w:rsid w:val="0026042E"/>
    <w:rsid w:val="0026513E"/>
    <w:rsid w:val="002729A5"/>
    <w:rsid w:val="002862C1"/>
    <w:rsid w:val="00286449"/>
    <w:rsid w:val="00287EC3"/>
    <w:rsid w:val="00293F29"/>
    <w:rsid w:val="002941D1"/>
    <w:rsid w:val="0029641D"/>
    <w:rsid w:val="002A18A5"/>
    <w:rsid w:val="002A2A12"/>
    <w:rsid w:val="002B5285"/>
    <w:rsid w:val="002C05D0"/>
    <w:rsid w:val="002C6429"/>
    <w:rsid w:val="002D096D"/>
    <w:rsid w:val="002D11FE"/>
    <w:rsid w:val="002D2CB2"/>
    <w:rsid w:val="002D35EC"/>
    <w:rsid w:val="002D3FE3"/>
    <w:rsid w:val="002D5E8B"/>
    <w:rsid w:val="002E4A97"/>
    <w:rsid w:val="002E71C4"/>
    <w:rsid w:val="002F226A"/>
    <w:rsid w:val="00301DC2"/>
    <w:rsid w:val="003227FD"/>
    <w:rsid w:val="00325A55"/>
    <w:rsid w:val="003343DB"/>
    <w:rsid w:val="00336655"/>
    <w:rsid w:val="00342B3C"/>
    <w:rsid w:val="00346554"/>
    <w:rsid w:val="003503EB"/>
    <w:rsid w:val="00350767"/>
    <w:rsid w:val="00350E4B"/>
    <w:rsid w:val="003533A1"/>
    <w:rsid w:val="0036070B"/>
    <w:rsid w:val="00360809"/>
    <w:rsid w:val="003650D5"/>
    <w:rsid w:val="003651DE"/>
    <w:rsid w:val="00366F75"/>
    <w:rsid w:val="00367CB8"/>
    <w:rsid w:val="003711C0"/>
    <w:rsid w:val="00373197"/>
    <w:rsid w:val="00375BFA"/>
    <w:rsid w:val="0038390A"/>
    <w:rsid w:val="003900B5"/>
    <w:rsid w:val="003A0BBF"/>
    <w:rsid w:val="003A3C08"/>
    <w:rsid w:val="003A6449"/>
    <w:rsid w:val="003A73D2"/>
    <w:rsid w:val="003B3F46"/>
    <w:rsid w:val="003B4DDE"/>
    <w:rsid w:val="003B625C"/>
    <w:rsid w:val="003C0C28"/>
    <w:rsid w:val="003C0F32"/>
    <w:rsid w:val="003C6CAC"/>
    <w:rsid w:val="003D3516"/>
    <w:rsid w:val="003E1394"/>
    <w:rsid w:val="003E582F"/>
    <w:rsid w:val="00401B59"/>
    <w:rsid w:val="00404498"/>
    <w:rsid w:val="00405CE5"/>
    <w:rsid w:val="0041604F"/>
    <w:rsid w:val="00416865"/>
    <w:rsid w:val="00427DD9"/>
    <w:rsid w:val="004317DB"/>
    <w:rsid w:val="00432C5C"/>
    <w:rsid w:val="00437C19"/>
    <w:rsid w:val="00444C2F"/>
    <w:rsid w:val="00452A13"/>
    <w:rsid w:val="0045526E"/>
    <w:rsid w:val="00461D1F"/>
    <w:rsid w:val="0046422D"/>
    <w:rsid w:val="00470148"/>
    <w:rsid w:val="00470526"/>
    <w:rsid w:val="004724CB"/>
    <w:rsid w:val="004848A4"/>
    <w:rsid w:val="0048771D"/>
    <w:rsid w:val="004965F6"/>
    <w:rsid w:val="004A0755"/>
    <w:rsid w:val="004A3187"/>
    <w:rsid w:val="004A633E"/>
    <w:rsid w:val="004A6BE3"/>
    <w:rsid w:val="004B078F"/>
    <w:rsid w:val="004B285C"/>
    <w:rsid w:val="004C4371"/>
    <w:rsid w:val="004C7D38"/>
    <w:rsid w:val="004D0D86"/>
    <w:rsid w:val="004D10C6"/>
    <w:rsid w:val="004D2643"/>
    <w:rsid w:val="004D294E"/>
    <w:rsid w:val="004D3D03"/>
    <w:rsid w:val="004D4586"/>
    <w:rsid w:val="004D6329"/>
    <w:rsid w:val="004E034B"/>
    <w:rsid w:val="004E17FC"/>
    <w:rsid w:val="004E274E"/>
    <w:rsid w:val="004E517F"/>
    <w:rsid w:val="004F778E"/>
    <w:rsid w:val="004F7A38"/>
    <w:rsid w:val="00500D07"/>
    <w:rsid w:val="0050148F"/>
    <w:rsid w:val="00502F91"/>
    <w:rsid w:val="00520AAA"/>
    <w:rsid w:val="00520B2A"/>
    <w:rsid w:val="005338E4"/>
    <w:rsid w:val="0054286C"/>
    <w:rsid w:val="00543E5A"/>
    <w:rsid w:val="00545A32"/>
    <w:rsid w:val="0054645F"/>
    <w:rsid w:val="005561B0"/>
    <w:rsid w:val="005616ED"/>
    <w:rsid w:val="005629D0"/>
    <w:rsid w:val="00564A4E"/>
    <w:rsid w:val="005815B6"/>
    <w:rsid w:val="00584E85"/>
    <w:rsid w:val="005871DA"/>
    <w:rsid w:val="00587695"/>
    <w:rsid w:val="0059054D"/>
    <w:rsid w:val="0059316B"/>
    <w:rsid w:val="005949A8"/>
    <w:rsid w:val="005A077D"/>
    <w:rsid w:val="005A4320"/>
    <w:rsid w:val="005A498D"/>
    <w:rsid w:val="005C19CA"/>
    <w:rsid w:val="005C4522"/>
    <w:rsid w:val="005D49BF"/>
    <w:rsid w:val="005F2DC3"/>
    <w:rsid w:val="005F30C3"/>
    <w:rsid w:val="005F3145"/>
    <w:rsid w:val="005F7863"/>
    <w:rsid w:val="0060353B"/>
    <w:rsid w:val="00620876"/>
    <w:rsid w:val="00624FD0"/>
    <w:rsid w:val="00630C5E"/>
    <w:rsid w:val="006315B4"/>
    <w:rsid w:val="00635AC3"/>
    <w:rsid w:val="00636FFB"/>
    <w:rsid w:val="00654CCF"/>
    <w:rsid w:val="00665F82"/>
    <w:rsid w:val="0067186C"/>
    <w:rsid w:val="00671E11"/>
    <w:rsid w:val="006738E9"/>
    <w:rsid w:val="006779DA"/>
    <w:rsid w:val="00687EB3"/>
    <w:rsid w:val="00692980"/>
    <w:rsid w:val="00692F01"/>
    <w:rsid w:val="00693246"/>
    <w:rsid w:val="0069506F"/>
    <w:rsid w:val="00696582"/>
    <w:rsid w:val="006A1DBB"/>
    <w:rsid w:val="006A7A97"/>
    <w:rsid w:val="006B4E40"/>
    <w:rsid w:val="006C103A"/>
    <w:rsid w:val="006C4E6A"/>
    <w:rsid w:val="006C50E8"/>
    <w:rsid w:val="006D464D"/>
    <w:rsid w:val="006E6F11"/>
    <w:rsid w:val="006F0B6B"/>
    <w:rsid w:val="006F144D"/>
    <w:rsid w:val="006F461B"/>
    <w:rsid w:val="006F622C"/>
    <w:rsid w:val="00700FF6"/>
    <w:rsid w:val="0070247E"/>
    <w:rsid w:val="00704D44"/>
    <w:rsid w:val="00705918"/>
    <w:rsid w:val="00715A68"/>
    <w:rsid w:val="00715DD5"/>
    <w:rsid w:val="00715ECF"/>
    <w:rsid w:val="00716282"/>
    <w:rsid w:val="00717A04"/>
    <w:rsid w:val="00717BFE"/>
    <w:rsid w:val="007208C5"/>
    <w:rsid w:val="00725BB4"/>
    <w:rsid w:val="0073180A"/>
    <w:rsid w:val="00732997"/>
    <w:rsid w:val="007336C3"/>
    <w:rsid w:val="00735033"/>
    <w:rsid w:val="00756485"/>
    <w:rsid w:val="0075705D"/>
    <w:rsid w:val="007626E1"/>
    <w:rsid w:val="00767F65"/>
    <w:rsid w:val="00770D6C"/>
    <w:rsid w:val="00783515"/>
    <w:rsid w:val="00787C94"/>
    <w:rsid w:val="00791BCB"/>
    <w:rsid w:val="007921BD"/>
    <w:rsid w:val="00793A02"/>
    <w:rsid w:val="00795C6B"/>
    <w:rsid w:val="007A1566"/>
    <w:rsid w:val="007A3995"/>
    <w:rsid w:val="007A5AC5"/>
    <w:rsid w:val="007B622D"/>
    <w:rsid w:val="007C4288"/>
    <w:rsid w:val="007C484E"/>
    <w:rsid w:val="007C5B91"/>
    <w:rsid w:val="007D4853"/>
    <w:rsid w:val="007D57C4"/>
    <w:rsid w:val="007E0429"/>
    <w:rsid w:val="007E41DE"/>
    <w:rsid w:val="007E4CE3"/>
    <w:rsid w:val="007F2B1F"/>
    <w:rsid w:val="00802F7A"/>
    <w:rsid w:val="00806A1C"/>
    <w:rsid w:val="0080773A"/>
    <w:rsid w:val="008173F3"/>
    <w:rsid w:val="0082092A"/>
    <w:rsid w:val="0082117C"/>
    <w:rsid w:val="008227E9"/>
    <w:rsid w:val="008252C5"/>
    <w:rsid w:val="00831860"/>
    <w:rsid w:val="00832F2D"/>
    <w:rsid w:val="00835CC2"/>
    <w:rsid w:val="00836C6A"/>
    <w:rsid w:val="00841C9F"/>
    <w:rsid w:val="0084294E"/>
    <w:rsid w:val="00843EFF"/>
    <w:rsid w:val="008442A5"/>
    <w:rsid w:val="008477A9"/>
    <w:rsid w:val="0085416A"/>
    <w:rsid w:val="00856B0F"/>
    <w:rsid w:val="0087186A"/>
    <w:rsid w:val="00872C56"/>
    <w:rsid w:val="00874F67"/>
    <w:rsid w:val="00876AC2"/>
    <w:rsid w:val="008807D0"/>
    <w:rsid w:val="00883F43"/>
    <w:rsid w:val="00884C98"/>
    <w:rsid w:val="00884CE2"/>
    <w:rsid w:val="00885E7D"/>
    <w:rsid w:val="0089363F"/>
    <w:rsid w:val="00894D05"/>
    <w:rsid w:val="00895C47"/>
    <w:rsid w:val="00896088"/>
    <w:rsid w:val="00896ED8"/>
    <w:rsid w:val="008A0352"/>
    <w:rsid w:val="008A209D"/>
    <w:rsid w:val="008A2436"/>
    <w:rsid w:val="008A4E8C"/>
    <w:rsid w:val="008A563D"/>
    <w:rsid w:val="008B1443"/>
    <w:rsid w:val="008B3B0A"/>
    <w:rsid w:val="008C2BA0"/>
    <w:rsid w:val="008C69F2"/>
    <w:rsid w:val="008C703D"/>
    <w:rsid w:val="008D1D44"/>
    <w:rsid w:val="008D3E6C"/>
    <w:rsid w:val="008E04EC"/>
    <w:rsid w:val="008E2AD2"/>
    <w:rsid w:val="008E43F4"/>
    <w:rsid w:val="008F42F6"/>
    <w:rsid w:val="008F5282"/>
    <w:rsid w:val="0090147B"/>
    <w:rsid w:val="009078EF"/>
    <w:rsid w:val="00910A2B"/>
    <w:rsid w:val="00912BAC"/>
    <w:rsid w:val="00925058"/>
    <w:rsid w:val="00926CDB"/>
    <w:rsid w:val="00930113"/>
    <w:rsid w:val="009356EC"/>
    <w:rsid w:val="00937FB2"/>
    <w:rsid w:val="0094114F"/>
    <w:rsid w:val="0095574F"/>
    <w:rsid w:val="00955F42"/>
    <w:rsid w:val="0095690D"/>
    <w:rsid w:val="009609C5"/>
    <w:rsid w:val="00965B1A"/>
    <w:rsid w:val="00971B57"/>
    <w:rsid w:val="00973208"/>
    <w:rsid w:val="00976933"/>
    <w:rsid w:val="00981893"/>
    <w:rsid w:val="00984974"/>
    <w:rsid w:val="00986438"/>
    <w:rsid w:val="00987DBF"/>
    <w:rsid w:val="009970F9"/>
    <w:rsid w:val="009A5590"/>
    <w:rsid w:val="009C3837"/>
    <w:rsid w:val="009C44BD"/>
    <w:rsid w:val="009C537F"/>
    <w:rsid w:val="009D0585"/>
    <w:rsid w:val="009D2BB3"/>
    <w:rsid w:val="009D4ADE"/>
    <w:rsid w:val="009E0846"/>
    <w:rsid w:val="009E1EF4"/>
    <w:rsid w:val="009E1F32"/>
    <w:rsid w:val="009E4BD5"/>
    <w:rsid w:val="009E64E1"/>
    <w:rsid w:val="009F1BE0"/>
    <w:rsid w:val="009F27E0"/>
    <w:rsid w:val="009F7CED"/>
    <w:rsid w:val="00A04569"/>
    <w:rsid w:val="00A0736A"/>
    <w:rsid w:val="00A07DE7"/>
    <w:rsid w:val="00A120D6"/>
    <w:rsid w:val="00A1301A"/>
    <w:rsid w:val="00A14C37"/>
    <w:rsid w:val="00A161B9"/>
    <w:rsid w:val="00A219D7"/>
    <w:rsid w:val="00A26A06"/>
    <w:rsid w:val="00A2785C"/>
    <w:rsid w:val="00A27D3B"/>
    <w:rsid w:val="00A321B4"/>
    <w:rsid w:val="00A33DCF"/>
    <w:rsid w:val="00A377FE"/>
    <w:rsid w:val="00A40521"/>
    <w:rsid w:val="00A4128C"/>
    <w:rsid w:val="00A41AEF"/>
    <w:rsid w:val="00A447B3"/>
    <w:rsid w:val="00A500DD"/>
    <w:rsid w:val="00A50D2A"/>
    <w:rsid w:val="00A52C3F"/>
    <w:rsid w:val="00A55DB6"/>
    <w:rsid w:val="00A61784"/>
    <w:rsid w:val="00A64120"/>
    <w:rsid w:val="00A72973"/>
    <w:rsid w:val="00A73893"/>
    <w:rsid w:val="00A74AFD"/>
    <w:rsid w:val="00A76472"/>
    <w:rsid w:val="00A80613"/>
    <w:rsid w:val="00A83A98"/>
    <w:rsid w:val="00A85AEA"/>
    <w:rsid w:val="00A878C9"/>
    <w:rsid w:val="00A93CB7"/>
    <w:rsid w:val="00A94019"/>
    <w:rsid w:val="00AA28E8"/>
    <w:rsid w:val="00AB0708"/>
    <w:rsid w:val="00AB0C45"/>
    <w:rsid w:val="00AB60CE"/>
    <w:rsid w:val="00AB6652"/>
    <w:rsid w:val="00AC1AF8"/>
    <w:rsid w:val="00AC447D"/>
    <w:rsid w:val="00AD5446"/>
    <w:rsid w:val="00AD623F"/>
    <w:rsid w:val="00AE03F3"/>
    <w:rsid w:val="00AF569A"/>
    <w:rsid w:val="00AF5E71"/>
    <w:rsid w:val="00B13AE3"/>
    <w:rsid w:val="00B16AAF"/>
    <w:rsid w:val="00B17048"/>
    <w:rsid w:val="00B2322E"/>
    <w:rsid w:val="00B237AC"/>
    <w:rsid w:val="00B25550"/>
    <w:rsid w:val="00B30DCD"/>
    <w:rsid w:val="00B377D3"/>
    <w:rsid w:val="00B4178F"/>
    <w:rsid w:val="00B4216E"/>
    <w:rsid w:val="00B448DC"/>
    <w:rsid w:val="00B463AC"/>
    <w:rsid w:val="00B51095"/>
    <w:rsid w:val="00B6123C"/>
    <w:rsid w:val="00B61CA6"/>
    <w:rsid w:val="00B63B55"/>
    <w:rsid w:val="00B65F1B"/>
    <w:rsid w:val="00B66D03"/>
    <w:rsid w:val="00B7000F"/>
    <w:rsid w:val="00B729FC"/>
    <w:rsid w:val="00B73EC6"/>
    <w:rsid w:val="00B766E4"/>
    <w:rsid w:val="00B80B10"/>
    <w:rsid w:val="00B8326D"/>
    <w:rsid w:val="00B84AF8"/>
    <w:rsid w:val="00B91E77"/>
    <w:rsid w:val="00B937B6"/>
    <w:rsid w:val="00BA450F"/>
    <w:rsid w:val="00BB0BAC"/>
    <w:rsid w:val="00BB46F3"/>
    <w:rsid w:val="00BB545F"/>
    <w:rsid w:val="00BD4B65"/>
    <w:rsid w:val="00BE280C"/>
    <w:rsid w:val="00BF054E"/>
    <w:rsid w:val="00BF0DB9"/>
    <w:rsid w:val="00BF3BD2"/>
    <w:rsid w:val="00C02CF3"/>
    <w:rsid w:val="00C066DD"/>
    <w:rsid w:val="00C12B93"/>
    <w:rsid w:val="00C134C3"/>
    <w:rsid w:val="00C26C14"/>
    <w:rsid w:val="00C27D76"/>
    <w:rsid w:val="00C31D59"/>
    <w:rsid w:val="00C3216F"/>
    <w:rsid w:val="00C36892"/>
    <w:rsid w:val="00C4009A"/>
    <w:rsid w:val="00C401C2"/>
    <w:rsid w:val="00C43BD2"/>
    <w:rsid w:val="00C46330"/>
    <w:rsid w:val="00C47F73"/>
    <w:rsid w:val="00C52E86"/>
    <w:rsid w:val="00C6077B"/>
    <w:rsid w:val="00C61441"/>
    <w:rsid w:val="00C7294E"/>
    <w:rsid w:val="00C75E85"/>
    <w:rsid w:val="00C80A2F"/>
    <w:rsid w:val="00C91F90"/>
    <w:rsid w:val="00CA3B1E"/>
    <w:rsid w:val="00CA49CE"/>
    <w:rsid w:val="00CA57DF"/>
    <w:rsid w:val="00CB0063"/>
    <w:rsid w:val="00CB4D37"/>
    <w:rsid w:val="00CB66F7"/>
    <w:rsid w:val="00CC0C62"/>
    <w:rsid w:val="00CC259C"/>
    <w:rsid w:val="00CC42D1"/>
    <w:rsid w:val="00CC5B3E"/>
    <w:rsid w:val="00CD6040"/>
    <w:rsid w:val="00CE0417"/>
    <w:rsid w:val="00CE1A87"/>
    <w:rsid w:val="00CF2415"/>
    <w:rsid w:val="00CF25EF"/>
    <w:rsid w:val="00D04A96"/>
    <w:rsid w:val="00D05B67"/>
    <w:rsid w:val="00D05D52"/>
    <w:rsid w:val="00D24980"/>
    <w:rsid w:val="00D26D53"/>
    <w:rsid w:val="00D301DC"/>
    <w:rsid w:val="00D31F43"/>
    <w:rsid w:val="00D40E59"/>
    <w:rsid w:val="00D415E6"/>
    <w:rsid w:val="00D444C5"/>
    <w:rsid w:val="00D530DC"/>
    <w:rsid w:val="00D62023"/>
    <w:rsid w:val="00D6264D"/>
    <w:rsid w:val="00D7070F"/>
    <w:rsid w:val="00D709DD"/>
    <w:rsid w:val="00D774A5"/>
    <w:rsid w:val="00D8294A"/>
    <w:rsid w:val="00D83F98"/>
    <w:rsid w:val="00D84A75"/>
    <w:rsid w:val="00D85F90"/>
    <w:rsid w:val="00D874A3"/>
    <w:rsid w:val="00D90649"/>
    <w:rsid w:val="00D91E89"/>
    <w:rsid w:val="00D9213D"/>
    <w:rsid w:val="00D965B1"/>
    <w:rsid w:val="00D97DF9"/>
    <w:rsid w:val="00D97F1C"/>
    <w:rsid w:val="00DA6526"/>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12202"/>
    <w:rsid w:val="00E20331"/>
    <w:rsid w:val="00E242C5"/>
    <w:rsid w:val="00E24673"/>
    <w:rsid w:val="00E24F26"/>
    <w:rsid w:val="00E261B4"/>
    <w:rsid w:val="00E31E85"/>
    <w:rsid w:val="00E407FF"/>
    <w:rsid w:val="00E40C34"/>
    <w:rsid w:val="00E41E2C"/>
    <w:rsid w:val="00E44207"/>
    <w:rsid w:val="00E66C57"/>
    <w:rsid w:val="00E66D00"/>
    <w:rsid w:val="00E7224C"/>
    <w:rsid w:val="00E729F2"/>
    <w:rsid w:val="00E72C2B"/>
    <w:rsid w:val="00E75DBD"/>
    <w:rsid w:val="00E805D3"/>
    <w:rsid w:val="00E80826"/>
    <w:rsid w:val="00E815D4"/>
    <w:rsid w:val="00E81C3C"/>
    <w:rsid w:val="00E84DA1"/>
    <w:rsid w:val="00E91332"/>
    <w:rsid w:val="00E97A8B"/>
    <w:rsid w:val="00EA3045"/>
    <w:rsid w:val="00EB1839"/>
    <w:rsid w:val="00EC0349"/>
    <w:rsid w:val="00EC1DE8"/>
    <w:rsid w:val="00EC35AE"/>
    <w:rsid w:val="00EC4A88"/>
    <w:rsid w:val="00EC52D4"/>
    <w:rsid w:val="00ED4708"/>
    <w:rsid w:val="00EE0D69"/>
    <w:rsid w:val="00EE0F26"/>
    <w:rsid w:val="00EE2ABB"/>
    <w:rsid w:val="00EF192B"/>
    <w:rsid w:val="00F06B8A"/>
    <w:rsid w:val="00F07A7D"/>
    <w:rsid w:val="00F07D04"/>
    <w:rsid w:val="00F11163"/>
    <w:rsid w:val="00F153C1"/>
    <w:rsid w:val="00F16839"/>
    <w:rsid w:val="00F211E7"/>
    <w:rsid w:val="00F21D37"/>
    <w:rsid w:val="00F221F0"/>
    <w:rsid w:val="00F26136"/>
    <w:rsid w:val="00F2713B"/>
    <w:rsid w:val="00F305D8"/>
    <w:rsid w:val="00F3061F"/>
    <w:rsid w:val="00F37106"/>
    <w:rsid w:val="00F44A2E"/>
    <w:rsid w:val="00F47D57"/>
    <w:rsid w:val="00F55DC4"/>
    <w:rsid w:val="00F576B3"/>
    <w:rsid w:val="00F741AF"/>
    <w:rsid w:val="00F745E1"/>
    <w:rsid w:val="00F75A79"/>
    <w:rsid w:val="00F7620E"/>
    <w:rsid w:val="00F775AD"/>
    <w:rsid w:val="00F77DB8"/>
    <w:rsid w:val="00F80E07"/>
    <w:rsid w:val="00F90326"/>
    <w:rsid w:val="00F90F86"/>
    <w:rsid w:val="00F92DF0"/>
    <w:rsid w:val="00F931B0"/>
    <w:rsid w:val="00FA0454"/>
    <w:rsid w:val="00FA4A9E"/>
    <w:rsid w:val="00FA7D61"/>
    <w:rsid w:val="00FB1248"/>
    <w:rsid w:val="00FB1453"/>
    <w:rsid w:val="00FB217D"/>
    <w:rsid w:val="00FB29CC"/>
    <w:rsid w:val="00FC0522"/>
    <w:rsid w:val="00FC2DE3"/>
    <w:rsid w:val="00FD3D04"/>
    <w:rsid w:val="00FD49A0"/>
    <w:rsid w:val="00FE27DE"/>
    <w:rsid w:val="00FE2D84"/>
    <w:rsid w:val="00FF66CA"/>
    <w:rsid w:val="00FF74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 w:type="paragraph" w:styleId="Revisin">
    <w:name w:val="Revision"/>
    <w:hidden/>
    <w:uiPriority w:val="71"/>
    <w:rsid w:val="00910A2B"/>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2.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3.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customXml/itemProps4.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5324</Characters>
  <Application>Microsoft Office Word</Application>
  <DocSecurity>0</DocSecurity>
  <Lines>138</Lines>
  <Paragraphs>60</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William German Torres Lopez</cp:lastModifiedBy>
  <cp:revision>3</cp:revision>
  <cp:lastPrinted>2019-07-08T22:30:00Z</cp:lastPrinted>
  <dcterms:created xsi:type="dcterms:W3CDTF">2025-11-29T00:06:00Z</dcterms:created>
  <dcterms:modified xsi:type="dcterms:W3CDTF">2025-11-29T00:06:00Z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