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9F7CED" w14:paraId="37976A32"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2221798A" w14:textId="77777777" w:rsidR="0026513E" w:rsidRPr="008C703D" w:rsidRDefault="00795C6B" w:rsidP="002264B8">
            <w:pPr>
              <w:pStyle w:val="Ttulo2"/>
              <w:ind w:right="72"/>
              <w:jc w:val="left"/>
              <w:rPr>
                <w:rFonts w:cs="Arial"/>
                <w:bCs/>
                <w:sz w:val="22"/>
                <w:szCs w:val="22"/>
              </w:rPr>
            </w:pPr>
            <w:r w:rsidRPr="008C703D">
              <w:rPr>
                <w:rFonts w:cs="Arial"/>
                <w:sz w:val="22"/>
                <w:szCs w:val="22"/>
                <w:lang w:val="es-CO"/>
              </w:rPr>
              <w:t>Entidad</w:t>
            </w:r>
            <w:r w:rsidR="00086B16" w:rsidRPr="008C703D">
              <w:rPr>
                <w:rFonts w:cs="Arial"/>
                <w:sz w:val="22"/>
                <w:szCs w:val="22"/>
                <w:lang w:val="es-CO"/>
              </w:rPr>
              <w:t xml:space="preserve"> </w:t>
            </w:r>
            <w:r w:rsidRPr="008C703D">
              <w:rPr>
                <w:rFonts w:cs="Arial"/>
                <w:sz w:val="22"/>
                <w:szCs w:val="22"/>
                <w:lang w:val="es-CO"/>
              </w:rPr>
              <w:t>originadora</w:t>
            </w:r>
            <w:r w:rsidR="00293F29" w:rsidRPr="008C703D">
              <w:rPr>
                <w:rFonts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406CB6" w14:textId="0CE41C76" w:rsidR="0026513E" w:rsidRPr="00084B49" w:rsidRDefault="00C6398B" w:rsidP="00795C6B">
            <w:pPr>
              <w:pStyle w:val="Ttulo2"/>
              <w:ind w:left="72" w:right="72"/>
              <w:jc w:val="left"/>
              <w:rPr>
                <w:rFonts w:cs="Arial"/>
                <w:b w:val="0"/>
                <w:i/>
                <w:color w:val="808080"/>
                <w:sz w:val="22"/>
                <w:szCs w:val="22"/>
              </w:rPr>
            </w:pPr>
            <w:r w:rsidRPr="003D4503">
              <w:rPr>
                <w:rFonts w:cs="Arial"/>
                <w:b w:val="0"/>
                <w:i/>
              </w:rPr>
              <w:t>Ministerio de las Tecnologías de la Información y las Comunicaciones</w:t>
            </w:r>
          </w:p>
        </w:tc>
      </w:tr>
      <w:tr w:rsidR="005C4522" w:rsidRPr="009F7CED" w14:paraId="53D25FCD"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6D1BF2E" w14:textId="77777777" w:rsidR="00C47F73" w:rsidRPr="008C703D" w:rsidRDefault="0026513E" w:rsidP="002264B8">
            <w:pPr>
              <w:pStyle w:val="Ttulo2"/>
              <w:ind w:right="72"/>
              <w:jc w:val="left"/>
              <w:rPr>
                <w:rFonts w:cs="Arial"/>
                <w:bCs/>
                <w:sz w:val="22"/>
                <w:szCs w:val="22"/>
              </w:rPr>
            </w:pPr>
            <w:r w:rsidRPr="008C703D">
              <w:rPr>
                <w:rFonts w:cs="Arial"/>
                <w:bCs/>
                <w:sz w:val="22"/>
                <w:szCs w:val="22"/>
              </w:rPr>
              <w:t>Fecha</w:t>
            </w:r>
            <w:r w:rsidR="00BB545F" w:rsidRPr="008C703D">
              <w:rPr>
                <w:rFonts w:cs="Arial"/>
                <w:bCs/>
                <w:sz w:val="22"/>
                <w:szCs w:val="22"/>
              </w:rPr>
              <w:t xml:space="preserve"> (</w:t>
            </w:r>
            <w:proofErr w:type="spellStart"/>
            <w:r w:rsidR="00BB545F" w:rsidRPr="008C703D">
              <w:rPr>
                <w:rFonts w:cs="Arial"/>
                <w:bCs/>
                <w:sz w:val="22"/>
                <w:szCs w:val="22"/>
              </w:rPr>
              <w:t>dd</w:t>
            </w:r>
            <w:proofErr w:type="spellEnd"/>
            <w:r w:rsidR="00BB545F" w:rsidRPr="008C703D">
              <w:rPr>
                <w:rFonts w:cs="Arial"/>
                <w:bCs/>
                <w:sz w:val="22"/>
                <w:szCs w:val="22"/>
              </w:rPr>
              <w:t>/mm/</w:t>
            </w:r>
            <w:proofErr w:type="spellStart"/>
            <w:r w:rsidR="00BB545F" w:rsidRPr="008C703D">
              <w:rPr>
                <w:rFonts w:cs="Arial"/>
                <w:bCs/>
                <w:sz w:val="22"/>
                <w:szCs w:val="22"/>
              </w:rPr>
              <w:t>aa</w:t>
            </w:r>
            <w:proofErr w:type="spellEnd"/>
            <w:r w:rsidR="00BB545F" w:rsidRPr="008C703D">
              <w:rPr>
                <w:rFonts w:cs="Arial"/>
                <w:bCs/>
                <w:sz w:val="22"/>
                <w:szCs w:val="22"/>
              </w:rPr>
              <w:t>)</w:t>
            </w:r>
            <w:r w:rsidR="00293F29" w:rsidRPr="008C703D">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7A01855" w14:textId="48563C01" w:rsidR="00C47F73" w:rsidRPr="009F7CED" w:rsidRDefault="003B1017" w:rsidP="005F30C3">
            <w:pPr>
              <w:pStyle w:val="Ttulo2"/>
              <w:ind w:left="72" w:right="72"/>
              <w:jc w:val="left"/>
              <w:rPr>
                <w:rFonts w:cs="Arial"/>
                <w:b w:val="0"/>
                <w:sz w:val="22"/>
                <w:szCs w:val="22"/>
              </w:rPr>
            </w:pPr>
            <w:r>
              <w:rPr>
                <w:rFonts w:cs="Arial"/>
                <w:b w:val="0"/>
                <w:i/>
                <w:color w:val="808080"/>
                <w:sz w:val="22"/>
                <w:szCs w:val="22"/>
              </w:rPr>
              <w:t xml:space="preserve"> </w:t>
            </w:r>
            <w:r w:rsidR="00DB5C36">
              <w:rPr>
                <w:rFonts w:cs="Arial"/>
                <w:b w:val="0"/>
                <w:i/>
                <w:color w:val="808080"/>
                <w:sz w:val="22"/>
                <w:szCs w:val="22"/>
              </w:rPr>
              <w:t>10 de abril de 2026</w:t>
            </w:r>
          </w:p>
        </w:tc>
      </w:tr>
      <w:tr w:rsidR="005C4522" w:rsidRPr="009F7CED" w14:paraId="26AE5D51"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8B21D1B" w14:textId="77777777" w:rsidR="0059316B" w:rsidRPr="008C703D" w:rsidRDefault="00A55DB6" w:rsidP="002264B8">
            <w:pPr>
              <w:pStyle w:val="Ttulo2"/>
              <w:ind w:right="72"/>
              <w:jc w:val="left"/>
              <w:rPr>
                <w:rFonts w:cs="Arial"/>
                <w:bCs/>
                <w:sz w:val="22"/>
                <w:szCs w:val="22"/>
              </w:rPr>
            </w:pPr>
            <w:r w:rsidRPr="008C703D">
              <w:rPr>
                <w:rFonts w:cs="Arial"/>
                <w:bCs/>
                <w:sz w:val="22"/>
                <w:szCs w:val="22"/>
              </w:rPr>
              <w:t xml:space="preserve">Proyecto de </w:t>
            </w:r>
            <w:r w:rsidR="00587695" w:rsidRPr="008C703D">
              <w:rPr>
                <w:rFonts w:cs="Arial"/>
                <w:bCs/>
                <w:sz w:val="22"/>
                <w:szCs w:val="22"/>
              </w:rPr>
              <w:t>D</w:t>
            </w:r>
            <w:r w:rsidRPr="008C703D">
              <w:rPr>
                <w:rFonts w:cs="Arial"/>
                <w:bCs/>
                <w:sz w:val="22"/>
                <w:szCs w:val="22"/>
              </w:rPr>
              <w:t>ecreto</w:t>
            </w:r>
            <w:r w:rsidR="00795C6B" w:rsidRPr="008C703D">
              <w:rPr>
                <w:rFonts w:cs="Arial"/>
                <w:bCs/>
                <w:sz w:val="22"/>
                <w:szCs w:val="22"/>
              </w:rPr>
              <w:t>/Resolución</w:t>
            </w:r>
            <w:r w:rsidR="00293F29" w:rsidRPr="008C703D">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4136248" w14:textId="2F48DC77" w:rsidR="001F238A" w:rsidRPr="00C6398B" w:rsidRDefault="00C6398B" w:rsidP="00C6398B">
            <w:pPr>
              <w:pStyle w:val="Ttulo2"/>
              <w:ind w:left="72" w:right="72"/>
              <w:jc w:val="both"/>
              <w:rPr>
                <w:rFonts w:cs="Arial"/>
                <w:i/>
                <w:iCs/>
                <w:spacing w:val="-3"/>
                <w:sz w:val="22"/>
                <w:szCs w:val="22"/>
              </w:rPr>
            </w:pPr>
            <w:r w:rsidRPr="00C6398B">
              <w:rPr>
                <w:rFonts w:cs="Arial"/>
                <w:bCs/>
                <w:i/>
                <w:iCs/>
                <w:lang w:eastAsia="es-CO"/>
              </w:rPr>
              <w:t>“</w:t>
            </w:r>
            <w:r w:rsidRPr="00C6398B">
              <w:rPr>
                <w:rFonts w:cs="Arial"/>
                <w:b w:val="0"/>
                <w:bCs/>
                <w:i/>
                <w:iCs/>
                <w:lang w:eastAsia="es-CO"/>
              </w:rPr>
              <w:t xml:space="preserve">Por el cual se adiciona el Título 31 a la Parte 2 del Libro 2 del Decreto 1078 de 2015, Decreto Único Reglamentario del Sector de Tecnologías de la Información y las Comunicaciones, para establecer los </w:t>
            </w:r>
            <w:r w:rsidR="003B1017" w:rsidRPr="003B1017">
              <w:rPr>
                <w:rFonts w:cs="Arial"/>
                <w:b w:val="0"/>
                <w:bCs/>
                <w:i/>
                <w:iCs/>
                <w:lang w:eastAsia="es-CO"/>
              </w:rPr>
              <w:t>lineamientos generales de la Política Pública de Comunicaciones de las comunidades negras, afrocolombianas, raizales y palenqueras – AFROTIC</w:t>
            </w:r>
            <w:r w:rsidRPr="00C6398B">
              <w:rPr>
                <w:rFonts w:cs="Arial"/>
                <w:bCs/>
                <w:i/>
                <w:iCs/>
                <w:lang w:eastAsia="es-CO"/>
              </w:rPr>
              <w:t>”</w:t>
            </w:r>
          </w:p>
        </w:tc>
      </w:tr>
      <w:tr w:rsidR="00C6398B" w:rsidRPr="009F7CED" w14:paraId="421EB457" w14:textId="77777777" w:rsidTr="0075705D">
        <w:trPr>
          <w:trHeight w:val="674"/>
        </w:trPr>
        <w:tc>
          <w:tcPr>
            <w:tcW w:w="10774" w:type="dxa"/>
            <w:gridSpan w:val="3"/>
            <w:tcBorders>
              <w:top w:val="single" w:sz="4" w:space="0" w:color="auto"/>
            </w:tcBorders>
            <w:shd w:val="clear" w:color="auto" w:fill="FFFFFF"/>
            <w:vAlign w:val="center"/>
          </w:tcPr>
          <w:p w14:paraId="1308C5E1" w14:textId="77777777" w:rsidR="00C6398B" w:rsidRPr="003D4503" w:rsidRDefault="00C6398B" w:rsidP="00C6398B">
            <w:pPr>
              <w:autoSpaceDE w:val="0"/>
              <w:autoSpaceDN w:val="0"/>
              <w:adjustRightInd w:val="0"/>
              <w:jc w:val="both"/>
              <w:rPr>
                <w:rFonts w:eastAsia="Calibri" w:cs="Arial"/>
                <w:lang w:val="es-CO" w:eastAsia="en-US"/>
              </w:rPr>
            </w:pPr>
          </w:p>
          <w:p w14:paraId="529C1311" w14:textId="77777777" w:rsidR="00C6398B" w:rsidRPr="003D4503" w:rsidRDefault="00C6398B" w:rsidP="00C6398B">
            <w:pPr>
              <w:pStyle w:val="Prrafodelista"/>
              <w:numPr>
                <w:ilvl w:val="0"/>
                <w:numId w:val="46"/>
              </w:numPr>
              <w:rPr>
                <w:rFonts w:cs="Arial"/>
                <w:b/>
                <w:color w:val="000000"/>
                <w:lang w:val="es-CO"/>
              </w:rPr>
            </w:pPr>
            <w:r w:rsidRPr="003D4503">
              <w:rPr>
                <w:rFonts w:cs="Arial"/>
                <w:b/>
                <w:color w:val="000000"/>
                <w:lang w:val="es-CO"/>
              </w:rPr>
              <w:t>ANTECEDENTES Y RAZONES DE OPORTUNIDAD Y CONVENIENCIA QUE JUSTIFICAN SU EXPEDICIÓN.</w:t>
            </w:r>
          </w:p>
          <w:p w14:paraId="48945435" w14:textId="77777777" w:rsidR="00C6398B" w:rsidRPr="003D4503" w:rsidRDefault="00C6398B" w:rsidP="00C6398B">
            <w:pPr>
              <w:pStyle w:val="Listavistosa-nfasis11"/>
              <w:spacing w:after="0" w:line="240" w:lineRule="auto"/>
              <w:ind w:left="494"/>
              <w:jc w:val="both"/>
              <w:rPr>
                <w:rFonts w:eastAsia="Calibri" w:cs="Arial"/>
                <w:sz w:val="20"/>
                <w:szCs w:val="20"/>
                <w:lang w:eastAsia="en-US"/>
              </w:rPr>
            </w:pPr>
          </w:p>
          <w:p w14:paraId="7D6F57B5" w14:textId="77777777" w:rsidR="00C6398B" w:rsidRPr="003D4503" w:rsidRDefault="00C6398B" w:rsidP="00C6398B">
            <w:pPr>
              <w:ind w:left="-20" w:right="-20"/>
              <w:jc w:val="both"/>
              <w:rPr>
                <w:rFonts w:eastAsia="Cambria" w:cs="Arial"/>
                <w:b/>
                <w:bCs/>
              </w:rPr>
            </w:pPr>
            <w:r w:rsidRPr="003D4503">
              <w:rPr>
                <w:rFonts w:eastAsia="Cambria" w:cs="Arial"/>
              </w:rPr>
              <w:t>En el marco del Estado Social de Derecho existe el compromiso de establecer especial protección a la diversidad étnica y cultural del país, y como parte de este, el Estado Colombiano suscribió el Convenio 169 de 1989 de la Organización Internacional del Trabajo (OIT) sobre pueblos indígenas y tribales, adoptado e incorporado a nuestro ordenamiento jurídico mediante Ley 21 de 1991, haciendo parte del bloque de constitucionalidad</w:t>
            </w:r>
            <w:r w:rsidRPr="003D4503">
              <w:rPr>
                <w:rFonts w:eastAsia="Cambria" w:cs="Arial"/>
                <w:b/>
                <w:bCs/>
              </w:rPr>
              <w:t>.</w:t>
            </w:r>
          </w:p>
          <w:p w14:paraId="3384AE85" w14:textId="77777777" w:rsidR="00C6398B" w:rsidRPr="003D4503" w:rsidRDefault="00C6398B" w:rsidP="00C6398B">
            <w:pPr>
              <w:ind w:left="-20" w:right="-20"/>
              <w:jc w:val="both"/>
              <w:rPr>
                <w:rFonts w:eastAsia="Cambria" w:cs="Arial"/>
              </w:rPr>
            </w:pPr>
          </w:p>
          <w:p w14:paraId="0427F039" w14:textId="77777777" w:rsidR="00C6398B" w:rsidRPr="003D4503" w:rsidRDefault="00C6398B" w:rsidP="00C6398B">
            <w:pPr>
              <w:ind w:left="-20" w:right="-20"/>
              <w:jc w:val="both"/>
              <w:rPr>
                <w:rFonts w:eastAsia="Cambria" w:cs="Arial"/>
              </w:rPr>
            </w:pPr>
            <w:r w:rsidRPr="003D4503">
              <w:rPr>
                <w:rFonts w:eastAsia="Cambria" w:cs="Arial"/>
              </w:rPr>
              <w:t>La Constitución Política de Colombia en su artículo 7, reconoce y protege la diversidad étnica y cultural de la Nación colombiana.</w:t>
            </w:r>
          </w:p>
          <w:p w14:paraId="0B376E43" w14:textId="77777777" w:rsidR="00C6398B" w:rsidRPr="003D4503" w:rsidRDefault="00C6398B" w:rsidP="00C6398B">
            <w:pPr>
              <w:ind w:left="-20" w:right="-20"/>
              <w:jc w:val="both"/>
              <w:rPr>
                <w:rFonts w:eastAsia="Cambria" w:cs="Arial"/>
                <w:b/>
                <w:bCs/>
              </w:rPr>
            </w:pPr>
          </w:p>
          <w:p w14:paraId="688DB29D" w14:textId="77777777" w:rsidR="00C6398B" w:rsidRPr="003D4503" w:rsidRDefault="00C6398B" w:rsidP="00C6398B">
            <w:pPr>
              <w:ind w:left="-20" w:right="-20"/>
              <w:jc w:val="both"/>
              <w:rPr>
                <w:rFonts w:cs="Arial"/>
                <w:lang w:eastAsia="es-CO"/>
              </w:rPr>
            </w:pPr>
            <w:r w:rsidRPr="003D4503">
              <w:rPr>
                <w:rFonts w:cs="Arial"/>
                <w:lang w:eastAsia="es-CO"/>
              </w:rPr>
              <w:t xml:space="preserve">De conformidad con los artículos 20, 75 y 365 de la Constitución Política de Colombia, es obligación del Estado y de todas las personas proteger el derecho fundamental a recibir y difundir información veraz e imparcial, asegurar la libertad de expresión, proteger la función social de los medios de comunicación y velar por el acceso equitativo al espectro electromagnético como bien público inajenable sujeto a gestión y control del Estado. Asimismo, en virtud de dichos mandatos constitucionales, corresponde a las autoridades adoptar medidas que promuevan la prestación eficiente, continua y oportuna de los servicios públicos asociados a la comunicación y la información, en condiciones de igualdad, respeto por la diversidad cultural y sin discriminación. </w:t>
            </w:r>
          </w:p>
          <w:p w14:paraId="1F0A2CAB" w14:textId="77777777" w:rsidR="00C6398B" w:rsidRPr="003D4503" w:rsidRDefault="00C6398B" w:rsidP="00C6398B">
            <w:pPr>
              <w:ind w:left="-20" w:right="-20"/>
              <w:jc w:val="both"/>
              <w:rPr>
                <w:rFonts w:cs="Arial"/>
                <w:lang w:eastAsia="es-CO"/>
              </w:rPr>
            </w:pPr>
          </w:p>
          <w:p w14:paraId="64606AB8" w14:textId="77777777" w:rsidR="00C6398B" w:rsidRPr="003D4503" w:rsidRDefault="00C6398B" w:rsidP="00C6398B">
            <w:pPr>
              <w:shd w:val="clear" w:color="auto" w:fill="FFFFFF"/>
              <w:jc w:val="both"/>
              <w:rPr>
                <w:rFonts w:cs="Arial"/>
                <w:lang w:eastAsia="es-CO"/>
              </w:rPr>
            </w:pPr>
            <w:r w:rsidRPr="003D4503">
              <w:rPr>
                <w:rFonts w:cs="Arial"/>
                <w:lang w:eastAsia="es-CO"/>
              </w:rPr>
              <w:t>El artículo 209 de la Constitución señala que la función administrativa se desarrolla con fundamento en los principios de coordinación, concurrencia y colaboración entre las distintas autoridades, lo que habilita a las entidades públicas para articular esfuerzos y convocar a otros organismos cuando ello resulte necesario para el cumplimiento eficaz de sus fines constitucionales y legales.</w:t>
            </w:r>
          </w:p>
          <w:p w14:paraId="61EB0370" w14:textId="77777777" w:rsidR="00C6398B" w:rsidRPr="003D4503" w:rsidRDefault="00C6398B" w:rsidP="00C6398B">
            <w:pPr>
              <w:shd w:val="clear" w:color="auto" w:fill="FFFFFF"/>
              <w:jc w:val="both"/>
              <w:rPr>
                <w:rFonts w:cs="Arial"/>
                <w:lang w:eastAsia="es-CO"/>
              </w:rPr>
            </w:pPr>
          </w:p>
          <w:p w14:paraId="0FEFBD6D" w14:textId="77777777" w:rsidR="00C6398B" w:rsidRPr="003D4503" w:rsidRDefault="00C6398B" w:rsidP="00C6398B">
            <w:pPr>
              <w:shd w:val="clear" w:color="auto" w:fill="FFFFFF"/>
              <w:jc w:val="both"/>
              <w:rPr>
                <w:rFonts w:cs="Arial"/>
                <w:i/>
                <w:iCs/>
                <w:lang w:eastAsia="es-CO"/>
              </w:rPr>
            </w:pPr>
            <w:r w:rsidRPr="003D4503">
              <w:rPr>
                <w:rFonts w:cs="Arial"/>
                <w:lang w:eastAsia="es-CO"/>
              </w:rPr>
              <w:t xml:space="preserve">El numeral 7 del artículo 2 de la Ley 1341 de 2009 “por la cual se definen principios y conceptos sobre la sociedad de la información y la organización de las Tecnologías de la Información y las Comunicaciones (TIC), se crea la Agencia Nacional de Espectro y se dictan otras disposiciones”, modificado por el artículo 3 de la Ley 1978 de 2019 “por la cual se moderniza el sector de las Tecnologías de la Información y las Comunicaciones (TIC), se distribuyen competencias, se crea un regulador único”, enmarca </w:t>
            </w:r>
            <w:r w:rsidRPr="003D4503">
              <w:rPr>
                <w:rFonts w:cs="Arial"/>
                <w:i/>
                <w:iCs/>
                <w:lang w:eastAsia="es-CO"/>
              </w:rPr>
              <w:t>“el derecho a la comunicación, la información y la educación y los servicios básicos de las TIC”</w:t>
            </w:r>
            <w:r w:rsidRPr="003D4503">
              <w:rPr>
                <w:rFonts w:cs="Arial"/>
                <w:lang w:eastAsia="es-CO"/>
              </w:rPr>
              <w:t xml:space="preserve"> como uno de sus principios orientadores indicando que </w:t>
            </w:r>
            <w:r w:rsidRPr="003D4503">
              <w:rPr>
                <w:rFonts w:cs="Arial"/>
                <w:i/>
                <w:iCs/>
                <w:lang w:eastAsia="es-CO"/>
              </w:rPr>
              <w:t>“La promoción del acceso a las tecnologías de la información y las comunicaciones básicas se hará con pleno respeto del libre desarrollo de las comunidades indígenas, afrocolombianas, palenqueras, raizales y Rrom.”</w:t>
            </w:r>
          </w:p>
          <w:p w14:paraId="7B42BAFD" w14:textId="77777777" w:rsidR="00C6398B" w:rsidRPr="003D4503" w:rsidRDefault="00C6398B" w:rsidP="00C6398B">
            <w:pPr>
              <w:shd w:val="clear" w:color="auto" w:fill="FFFFFF"/>
              <w:jc w:val="both"/>
              <w:rPr>
                <w:rFonts w:cs="Arial"/>
                <w:i/>
                <w:iCs/>
                <w:lang w:eastAsia="es-CO"/>
              </w:rPr>
            </w:pPr>
          </w:p>
          <w:p w14:paraId="4A0C652F" w14:textId="77777777" w:rsidR="00C6398B" w:rsidRPr="003D4503" w:rsidRDefault="00C6398B" w:rsidP="00C6398B">
            <w:pPr>
              <w:shd w:val="clear" w:color="auto" w:fill="FFFFFF"/>
              <w:jc w:val="both"/>
              <w:rPr>
                <w:rFonts w:cs="Arial"/>
                <w:lang w:eastAsia="es-CO"/>
              </w:rPr>
            </w:pPr>
            <w:r w:rsidRPr="003D4503">
              <w:rPr>
                <w:rFonts w:cs="Arial"/>
                <w:lang w:eastAsia="es-CO"/>
              </w:rPr>
              <w:t>Desde 2013, se han realizado jornadas de trabajo para la recolección de información que permita contribuir al proceso de formulación de esta política y su acto administrativo, así se han realizado más de 12 espacios para dicha formulación, todas las evidencias y constatación de participación y construcción correspondientes pueden ser consultadas tanto en el repositorio institucional de MinTIC como en los registros de visibilidad y medios gestionados por MinTIC en su página web</w:t>
            </w:r>
            <w:r>
              <w:rPr>
                <w:rStyle w:val="Refdenotaalpie"/>
                <w:rFonts w:cs="Arial"/>
                <w:lang w:eastAsia="es-CO"/>
              </w:rPr>
              <w:footnoteReference w:id="1"/>
            </w:r>
            <w:r w:rsidRPr="003D4503">
              <w:rPr>
                <w:rFonts w:cs="Arial"/>
                <w:lang w:eastAsia="es-CO"/>
              </w:rPr>
              <w:t>.</w:t>
            </w:r>
          </w:p>
          <w:p w14:paraId="58929DDB" w14:textId="77777777" w:rsidR="00C6398B" w:rsidRPr="00991637" w:rsidRDefault="00C6398B" w:rsidP="00C6398B">
            <w:pPr>
              <w:shd w:val="clear" w:color="auto" w:fill="FFFFFF"/>
              <w:jc w:val="both"/>
              <w:rPr>
                <w:rFonts w:cs="Arial"/>
                <w:sz w:val="22"/>
                <w:szCs w:val="22"/>
                <w:lang w:eastAsia="es-CO"/>
              </w:rPr>
            </w:pPr>
          </w:p>
          <w:p w14:paraId="0BBEB5FA" w14:textId="77777777" w:rsidR="00C6398B" w:rsidRPr="003D4503" w:rsidRDefault="00C6398B" w:rsidP="00C6398B">
            <w:pPr>
              <w:shd w:val="clear" w:color="auto" w:fill="FFFFFF"/>
              <w:jc w:val="both"/>
              <w:rPr>
                <w:rFonts w:cs="Arial"/>
                <w:i/>
                <w:iCs/>
                <w:lang w:eastAsia="es-CO"/>
              </w:rPr>
            </w:pPr>
            <w:r w:rsidRPr="003D4503">
              <w:rPr>
                <w:rFonts w:cs="Arial"/>
                <w:lang w:eastAsia="es-CO"/>
              </w:rPr>
              <w:t>El parágrafo 1 del artículo 3 de la Ley 2294 de 2023 “Por la cual se expide el Plan Nacional de Desarrollo 2022- 2026 “Colombia Potencia Mundial De La Vida” - PND -, establece que “</w:t>
            </w:r>
            <w:r w:rsidRPr="003D4503">
              <w:rPr>
                <w:rFonts w:cs="Arial"/>
                <w:i/>
                <w:iCs/>
                <w:lang w:eastAsia="es-CO"/>
              </w:rPr>
              <w:t>El Gobierno nacional garantizará la inclusión e implementación efectiva del enfoque diferencial e interseccional indígena, afrocolombiano, palenquero y raizal en todos los ejes de transformación y en los ejes transversales del Plan Nacional de Desarrollo.”</w:t>
            </w:r>
          </w:p>
          <w:p w14:paraId="2E57DC03" w14:textId="77777777" w:rsidR="00C6398B" w:rsidRPr="003D4503" w:rsidRDefault="00C6398B" w:rsidP="00C6398B">
            <w:pPr>
              <w:shd w:val="clear" w:color="auto" w:fill="FFFFFF"/>
              <w:jc w:val="both"/>
              <w:rPr>
                <w:rFonts w:cs="Arial"/>
                <w:lang w:eastAsia="es-CO"/>
              </w:rPr>
            </w:pPr>
          </w:p>
          <w:p w14:paraId="7BA02EA9" w14:textId="77777777" w:rsidR="00C6398B" w:rsidRPr="003D4503" w:rsidRDefault="00C6398B" w:rsidP="00C6398B">
            <w:pPr>
              <w:shd w:val="clear" w:color="auto" w:fill="FFFFFF"/>
              <w:jc w:val="both"/>
              <w:rPr>
                <w:rFonts w:cs="Arial"/>
                <w:shd w:val="clear" w:color="auto" w:fill="FFFFFF"/>
              </w:rPr>
            </w:pPr>
            <w:r w:rsidRPr="003D4503">
              <w:rPr>
                <w:rFonts w:cs="Arial"/>
                <w:lang w:eastAsia="es-CO"/>
              </w:rPr>
              <w:t>Aunado a lo anterior, el artículo 356 del citado PND indica que las entidades con compromisos derivados de escenarios de consulta previa y otros espacios de diálogo con</w:t>
            </w:r>
            <w:r w:rsidRPr="00EE3AF8">
              <w:rPr>
                <w:rFonts w:cs="Arial"/>
                <w:b/>
                <w:bCs/>
                <w:lang w:eastAsia="es-CO"/>
              </w:rPr>
              <w:t xml:space="preserve"> </w:t>
            </w:r>
            <w:r w:rsidRPr="00EE3AF8">
              <w:rPr>
                <w:rFonts w:cs="Arial"/>
                <w:b/>
                <w:bCs/>
                <w:shd w:val="clear" w:color="auto" w:fill="FFFFFF"/>
              </w:rPr>
              <w:t xml:space="preserve">i) </w:t>
            </w:r>
            <w:r w:rsidRPr="003D4503">
              <w:rPr>
                <w:rFonts w:cs="Arial"/>
                <w:shd w:val="clear" w:color="auto" w:fill="FFFFFF"/>
              </w:rPr>
              <w:t xml:space="preserve">comunidades </w:t>
            </w:r>
            <w:r w:rsidRPr="003D4503">
              <w:rPr>
                <w:rFonts w:cs="Arial"/>
                <w:lang w:eastAsia="es-CO"/>
              </w:rPr>
              <w:t>Negras, Afrocolombianas, Raizales y Palenqueras</w:t>
            </w:r>
            <w:r w:rsidRPr="003D4503">
              <w:rPr>
                <w:rFonts w:cs="Arial"/>
                <w:shd w:val="clear" w:color="auto" w:fill="FFFFFF"/>
              </w:rPr>
              <w:t xml:space="preserve">, </w:t>
            </w:r>
            <w:r w:rsidRPr="00EE3AF8">
              <w:rPr>
                <w:rFonts w:cs="Arial"/>
                <w:b/>
                <w:bCs/>
                <w:shd w:val="clear" w:color="auto" w:fill="FFFFFF"/>
              </w:rPr>
              <w:t>ii)</w:t>
            </w:r>
            <w:r w:rsidRPr="003D4503">
              <w:rPr>
                <w:rFonts w:cs="Arial"/>
                <w:shd w:val="clear" w:color="auto" w:fill="FFFFFF"/>
              </w:rPr>
              <w:t xml:space="preserve"> pueblo Rrom; y </w:t>
            </w:r>
            <w:r w:rsidRPr="00EE3AF8">
              <w:rPr>
                <w:rFonts w:cs="Arial"/>
                <w:b/>
                <w:bCs/>
                <w:shd w:val="clear" w:color="auto" w:fill="FFFFFF"/>
              </w:rPr>
              <w:t xml:space="preserve">iii) </w:t>
            </w:r>
            <w:r w:rsidRPr="003D4503">
              <w:rPr>
                <w:rFonts w:cs="Arial"/>
                <w:shd w:val="clear" w:color="auto" w:fill="FFFFFF"/>
              </w:rPr>
              <w:t xml:space="preserve">con pueblos y comunidades indígenas deberán destinar </w:t>
            </w:r>
            <w:r w:rsidRPr="00EE3AF8">
              <w:rPr>
                <w:rFonts w:cs="Arial"/>
                <w:b/>
                <w:bCs/>
                <w:i/>
                <w:iCs/>
                <w:shd w:val="clear" w:color="auto" w:fill="FFFFFF"/>
              </w:rPr>
              <w:t>“</w:t>
            </w:r>
            <w:r w:rsidRPr="003D4503">
              <w:rPr>
                <w:rFonts w:cs="Arial"/>
                <w:i/>
                <w:iCs/>
                <w:shd w:val="clear" w:color="auto" w:fill="FFFFFF"/>
              </w:rPr>
              <w:t>los recursos para su cumplimiento, los cuales deberán estar acorde con el marco de gasto de mediano plazo y el marco fiscal de mediano plazo</w:t>
            </w:r>
            <w:r w:rsidRPr="00EE3AF8">
              <w:rPr>
                <w:rFonts w:cs="Arial"/>
                <w:b/>
                <w:bCs/>
                <w:i/>
                <w:iCs/>
                <w:shd w:val="clear" w:color="auto" w:fill="FFFFFF"/>
              </w:rPr>
              <w:t xml:space="preserve">.” </w:t>
            </w:r>
            <w:r w:rsidRPr="003D4503">
              <w:rPr>
                <w:rFonts w:cs="Arial"/>
                <w:shd w:val="clear" w:color="auto" w:fill="FFFFFF"/>
              </w:rPr>
              <w:t>Adicionalmente, el artículo dispone que hacen parte integral de dicha Ley los acuerdos de la Consulta Previa protocolizados del Plan Nacional de Desarrollo 2022-2026.</w:t>
            </w:r>
          </w:p>
          <w:p w14:paraId="4B2B05DA" w14:textId="77777777" w:rsidR="00C6398B" w:rsidRPr="003D4503" w:rsidRDefault="00C6398B" w:rsidP="00C6398B">
            <w:pPr>
              <w:shd w:val="clear" w:color="auto" w:fill="FFFFFF"/>
              <w:jc w:val="both"/>
              <w:rPr>
                <w:rFonts w:cs="Arial"/>
                <w:lang w:eastAsia="es-CO"/>
              </w:rPr>
            </w:pPr>
          </w:p>
          <w:p w14:paraId="4C8C4ACB" w14:textId="77777777" w:rsidR="00C6398B" w:rsidRPr="003D4503" w:rsidRDefault="00C6398B" w:rsidP="00C6398B">
            <w:pPr>
              <w:shd w:val="clear" w:color="auto" w:fill="FFFFFF"/>
              <w:jc w:val="both"/>
              <w:rPr>
                <w:rFonts w:cs="Arial"/>
                <w:i/>
                <w:iCs/>
                <w:lang w:eastAsia="es-CO"/>
              </w:rPr>
            </w:pPr>
            <w:r w:rsidRPr="003D4503">
              <w:rPr>
                <w:rFonts w:cs="Arial"/>
                <w:lang w:eastAsia="es-CO"/>
              </w:rPr>
              <w:t xml:space="preserve">Además, el parágrafo del mencionado artículo 356 del PND establece que </w:t>
            </w:r>
            <w:r w:rsidRPr="003D4503">
              <w:rPr>
                <w:rFonts w:cs="Arial"/>
                <w:i/>
                <w:iCs/>
                <w:lang w:eastAsia="es-CO"/>
              </w:rPr>
              <w:t xml:space="preserve">“las estrategias y metas acordadas con las comunidades </w:t>
            </w:r>
            <w:r w:rsidRPr="003D4503">
              <w:rPr>
                <w:rFonts w:cs="Arial"/>
                <w:lang w:eastAsia="es-CO"/>
              </w:rPr>
              <w:t>Negras, Afrocolombianas, Raizales y Palenqueras</w:t>
            </w:r>
            <w:r w:rsidRPr="003D4503">
              <w:rPr>
                <w:rFonts w:cs="Arial"/>
                <w:i/>
                <w:iCs/>
                <w:lang w:eastAsia="es-CO"/>
              </w:rPr>
              <w:t xml:space="preserve"> serán objeto de especial seguimiento del Congreso de la República por medio de la comisión legal Afro.”</w:t>
            </w:r>
          </w:p>
          <w:p w14:paraId="3D1E3C57" w14:textId="77777777" w:rsidR="00C6398B" w:rsidRPr="003D4503" w:rsidRDefault="00C6398B" w:rsidP="00C6398B">
            <w:pPr>
              <w:shd w:val="clear" w:color="auto" w:fill="FFFFFF"/>
              <w:jc w:val="both"/>
              <w:rPr>
                <w:rFonts w:cs="Arial"/>
                <w:lang w:eastAsia="es-CO"/>
              </w:rPr>
            </w:pPr>
          </w:p>
          <w:p w14:paraId="4BFDB357" w14:textId="77777777" w:rsidR="00C6398B" w:rsidRPr="003D4503" w:rsidRDefault="00C6398B" w:rsidP="00C6398B">
            <w:pPr>
              <w:ind w:left="-20" w:right="-20"/>
              <w:jc w:val="both"/>
              <w:rPr>
                <w:rFonts w:cs="Arial"/>
                <w:lang w:eastAsia="es-CO"/>
              </w:rPr>
            </w:pPr>
            <w:r w:rsidRPr="003D4503">
              <w:rPr>
                <w:rFonts w:cs="Arial"/>
                <w:lang w:eastAsia="es-CO"/>
              </w:rPr>
              <w:t xml:space="preserve">En el marco de los Acuerdos derivados de la mesa permanente de concertación para consulta con los pueblos y comunidades étnicas, dentro de las que están las comunidades Negras, Afrocolombianas, Raizales y Palenqueras y en cumplimiento del Plan Nacional de Desarrollo 2022- 2026 </w:t>
            </w:r>
            <w:r w:rsidRPr="00EE3AF8">
              <w:rPr>
                <w:rFonts w:cs="Arial"/>
                <w:b/>
                <w:bCs/>
                <w:lang w:eastAsia="es-CO"/>
              </w:rPr>
              <w:t>“</w:t>
            </w:r>
            <w:r w:rsidRPr="003D4503">
              <w:rPr>
                <w:rFonts w:cs="Arial"/>
                <w:lang w:eastAsia="es-CO"/>
              </w:rPr>
              <w:t>Colombia Potencia Mundial de la Vida</w:t>
            </w:r>
            <w:r w:rsidRPr="00EE3AF8">
              <w:rPr>
                <w:rFonts w:cs="Arial"/>
                <w:b/>
                <w:bCs/>
                <w:lang w:eastAsia="es-CO"/>
              </w:rPr>
              <w:t xml:space="preserve">” </w:t>
            </w:r>
            <w:r w:rsidRPr="003D4503">
              <w:rPr>
                <w:rFonts w:cs="Arial"/>
                <w:lang w:eastAsia="es-CO"/>
              </w:rPr>
              <w:t xml:space="preserve">se estableció que estaría a cargo del Ministerio de Tecnologías de la Información y las Comunicaciones el Acuerdo NT4-148, respecto del cual le corresponde a esta Entidad  </w:t>
            </w:r>
            <w:r w:rsidRPr="00EE3AF8">
              <w:rPr>
                <w:rFonts w:cs="Arial"/>
                <w:b/>
                <w:bCs/>
                <w:lang w:eastAsia="es-CO"/>
              </w:rPr>
              <w:t>“</w:t>
            </w:r>
            <w:r w:rsidRPr="003D4503">
              <w:rPr>
                <w:rFonts w:cs="Arial"/>
                <w:lang w:eastAsia="es-CO"/>
              </w:rPr>
              <w:t>Formular, concertar y expedir la política pública de comunicaciones de las comunidades Afrocolombianas, Negras, Raizales y Palenqueras</w:t>
            </w:r>
            <w:r w:rsidRPr="00EE3AF8">
              <w:rPr>
                <w:rFonts w:cs="Arial"/>
                <w:b/>
                <w:bCs/>
                <w:lang w:eastAsia="es-CO"/>
              </w:rPr>
              <w:t>”</w:t>
            </w:r>
            <w:r w:rsidRPr="003D4503">
              <w:rPr>
                <w:rFonts w:cs="Arial"/>
                <w:lang w:eastAsia="es-CO"/>
              </w:rPr>
              <w:t>.</w:t>
            </w:r>
          </w:p>
          <w:p w14:paraId="5ED5F35C" w14:textId="77777777" w:rsidR="00C6398B" w:rsidRPr="003D4503" w:rsidRDefault="00C6398B" w:rsidP="00C6398B">
            <w:pPr>
              <w:ind w:left="-20" w:right="-20"/>
              <w:jc w:val="both"/>
              <w:rPr>
                <w:rFonts w:cs="Arial"/>
                <w:lang w:eastAsia="es-CO"/>
              </w:rPr>
            </w:pPr>
          </w:p>
          <w:p w14:paraId="50E5F9B2" w14:textId="77777777" w:rsidR="00C6398B" w:rsidRPr="00941760" w:rsidRDefault="00C6398B" w:rsidP="00C6398B">
            <w:pPr>
              <w:shd w:val="clear" w:color="auto" w:fill="FFFFFF"/>
              <w:jc w:val="both"/>
              <w:rPr>
                <w:rFonts w:cs="Arial"/>
                <w:iCs/>
                <w:lang w:eastAsia="es-CO"/>
              </w:rPr>
            </w:pPr>
            <w:r w:rsidRPr="00941760">
              <w:rPr>
                <w:rFonts w:cs="Arial"/>
                <w:iCs/>
                <w:lang w:eastAsia="es-CO"/>
              </w:rPr>
              <w:t>Con la reglamentación de la Comisión Nacional de Reparación Histórica y en reconocimiento de la evidencia documentada que da cuenta de las inequidades históricas en los procesos de comunicación hacia las poblaciones afrocolombianas, negras, raizales y palenqueras, la presente política propicia escenarios de articulación interinstitucional orientados a la adopción de medidas de reparación y superación de los rezagos derivados del colonialismo y la esclavización.</w:t>
            </w:r>
          </w:p>
          <w:p w14:paraId="21A9035F" w14:textId="77777777" w:rsidR="00C6398B" w:rsidRPr="00941760" w:rsidRDefault="00C6398B" w:rsidP="00C6398B">
            <w:pPr>
              <w:shd w:val="clear" w:color="auto" w:fill="FFFFFF"/>
              <w:jc w:val="both"/>
              <w:rPr>
                <w:rFonts w:cs="Arial"/>
                <w:iCs/>
                <w:lang w:eastAsia="es-CO"/>
              </w:rPr>
            </w:pPr>
          </w:p>
          <w:p w14:paraId="6BF327F4" w14:textId="77777777" w:rsidR="00C6398B" w:rsidRDefault="00C6398B" w:rsidP="00C6398B">
            <w:pPr>
              <w:shd w:val="clear" w:color="auto" w:fill="FFFFFF"/>
              <w:jc w:val="both"/>
              <w:rPr>
                <w:rFonts w:cs="Arial"/>
                <w:iCs/>
                <w:lang w:eastAsia="es-CO"/>
              </w:rPr>
            </w:pPr>
            <w:r w:rsidRPr="00941760">
              <w:rPr>
                <w:rFonts w:cs="Arial"/>
                <w:iCs/>
                <w:lang w:eastAsia="es-CO"/>
              </w:rPr>
              <w:t>En este marco, se busca contrarrestar la reproducción de estereotipos narrativos y simbólicos, así como los sesgos en los espacios de participación en las Tecnologías de la Información y las Comunicaciones, con el propósito de garantizar el restablecimiento de derechos y avanzar en la reparación histórica. Asimismo, promueve la consolidación de estructuras que aseguren la participación efectiva y el desarrollo de las comunidades afrocolombianas.</w:t>
            </w:r>
          </w:p>
          <w:p w14:paraId="6A50B0AD" w14:textId="77777777" w:rsidR="00C6398B" w:rsidRPr="003D4503" w:rsidRDefault="00C6398B" w:rsidP="00C6398B">
            <w:pPr>
              <w:shd w:val="clear" w:color="auto" w:fill="FFFFFF"/>
              <w:jc w:val="both"/>
              <w:rPr>
                <w:rFonts w:cs="Arial"/>
                <w:iCs/>
                <w:lang w:eastAsia="es-CO"/>
              </w:rPr>
            </w:pPr>
          </w:p>
          <w:p w14:paraId="3496D290" w14:textId="77777777" w:rsidR="00C6398B" w:rsidRPr="003D4503" w:rsidRDefault="00C6398B" w:rsidP="00C6398B">
            <w:pPr>
              <w:shd w:val="clear" w:color="auto" w:fill="FFFFFF"/>
              <w:jc w:val="both"/>
              <w:rPr>
                <w:rFonts w:cs="Arial"/>
                <w:iCs/>
                <w:lang w:eastAsia="es-CO"/>
              </w:rPr>
            </w:pPr>
            <w:r w:rsidRPr="003D4503">
              <w:rPr>
                <w:rFonts w:cs="Arial"/>
                <w:iCs/>
                <w:lang w:eastAsia="es-CO"/>
              </w:rPr>
              <w:t>Desde el campo institucional, se han gestado avances durante más de 12 espacios participativos entre 2022 y 2025,  bajo el liderazgo del Ministerio de TIC y en articulación con el Ministerio de las Culturas, las Artes y los Saberes, y con la participación de Ministerio de Igualdad</w:t>
            </w:r>
            <w:r>
              <w:rPr>
                <w:rFonts w:cs="Arial"/>
                <w:iCs/>
                <w:lang w:eastAsia="es-CO"/>
              </w:rPr>
              <w:t xml:space="preserve"> </w:t>
            </w:r>
            <w:r w:rsidRPr="003D4503">
              <w:rPr>
                <w:rFonts w:cs="Arial"/>
                <w:iCs/>
                <w:lang w:eastAsia="es-CO"/>
              </w:rPr>
              <w:t xml:space="preserve"> </w:t>
            </w:r>
            <w:r>
              <w:rPr>
                <w:rFonts w:cs="Arial"/>
                <w:iCs/>
                <w:lang w:eastAsia="es-CO"/>
              </w:rPr>
              <w:t xml:space="preserve">y Equidad </w:t>
            </w:r>
            <w:r w:rsidRPr="003D4503">
              <w:rPr>
                <w:rFonts w:cs="Arial"/>
                <w:iCs/>
                <w:lang w:eastAsia="es-CO"/>
              </w:rPr>
              <w:t>y Ministerio de Ciencias</w:t>
            </w:r>
            <w:r>
              <w:rPr>
                <w:rFonts w:cs="Arial"/>
                <w:iCs/>
                <w:lang w:eastAsia="es-CO"/>
              </w:rPr>
              <w:t>, Tecnología e Innovación</w:t>
            </w:r>
            <w:r w:rsidRPr="003D4503">
              <w:rPr>
                <w:rFonts w:cs="Arial"/>
                <w:iCs/>
                <w:lang w:eastAsia="es-CO"/>
              </w:rPr>
              <w:t xml:space="preserve">, este ha sido un proceso de garantías democráticas para la población </w:t>
            </w:r>
            <w:r w:rsidRPr="003D4503">
              <w:rPr>
                <w:rFonts w:cs="Arial"/>
                <w:lang w:eastAsia="es-CO"/>
              </w:rPr>
              <w:t>Negras, Afrocolombianas, Raizales y Palenqueras</w:t>
            </w:r>
            <w:r w:rsidRPr="003D4503">
              <w:rPr>
                <w:rFonts w:cs="Arial"/>
                <w:iCs/>
                <w:lang w:eastAsia="es-CO"/>
              </w:rPr>
              <w:t>, un ejercicio de gobernanza y de participación sectorial, poblacional y ciudadana que ha cobijado las cinco regiones del país con referentes, representantes de espacios de interlocución, agentes del sector TIC afrocolombiano. Todas las evidencias correspondientes pueden ser constadas en el repositorio de MinTIC asignado al proceso, al igual que, en el registro de visibilidad de medios y página web de este ministerio.</w:t>
            </w:r>
          </w:p>
          <w:p w14:paraId="19189F81" w14:textId="77777777" w:rsidR="00C6398B" w:rsidRPr="003D4503" w:rsidRDefault="00C6398B" w:rsidP="00C6398B">
            <w:pPr>
              <w:shd w:val="clear" w:color="auto" w:fill="FFFFFF"/>
              <w:jc w:val="both"/>
              <w:rPr>
                <w:rFonts w:cs="Arial"/>
                <w:lang w:eastAsia="es-CO"/>
              </w:rPr>
            </w:pPr>
          </w:p>
          <w:p w14:paraId="4CD27D53" w14:textId="60ABCC63" w:rsidR="00C6398B" w:rsidRPr="009F7CED" w:rsidRDefault="00C6398B" w:rsidP="00C6398B">
            <w:pPr>
              <w:autoSpaceDE w:val="0"/>
              <w:autoSpaceDN w:val="0"/>
              <w:adjustRightInd w:val="0"/>
              <w:jc w:val="both"/>
              <w:rPr>
                <w:rFonts w:eastAsia="Calibri" w:cs="Arial"/>
                <w:sz w:val="22"/>
                <w:szCs w:val="22"/>
                <w:lang w:val="es-CO" w:eastAsia="en-US"/>
              </w:rPr>
            </w:pPr>
            <w:r w:rsidRPr="003D4503">
              <w:rPr>
                <w:rFonts w:eastAsia="Cambria" w:cs="Arial"/>
              </w:rPr>
              <w:t>Frente a lo anterior, se observa la necesidad de establecer los lineamientos generales de la Política Social de comunicaciones de las comunidades Negras, Afrocolombianas, Raizales y Palenqueras, para garantizar la implementación del enfoque diferencial afrocolombiano en el sector TIC, toda vez que, son sujetos de especial protección y que, históricamente, se reconocen injusticias en el contexto comunicacional, al igual que para fortalecer la participación, el reconocimiento y el desarrollo de las comunidades en el sector de tecnologías de la información y las comunicaciones.</w:t>
            </w:r>
            <w:r w:rsidRPr="00991637">
              <w:rPr>
                <w:rFonts w:eastAsia="Cambria" w:cs="Arial"/>
                <w:sz w:val="22"/>
                <w:szCs w:val="22"/>
              </w:rPr>
              <w:t xml:space="preserve"> </w:t>
            </w:r>
          </w:p>
        </w:tc>
      </w:tr>
      <w:tr w:rsidR="00C6398B" w:rsidRPr="009F7CED" w14:paraId="2C8A0E56" w14:textId="77777777" w:rsidTr="0075705D">
        <w:trPr>
          <w:trHeight w:val="47"/>
        </w:trPr>
        <w:tc>
          <w:tcPr>
            <w:tcW w:w="10774" w:type="dxa"/>
            <w:gridSpan w:val="3"/>
            <w:shd w:val="clear" w:color="auto" w:fill="FFFFFF"/>
            <w:vAlign w:val="center"/>
          </w:tcPr>
          <w:p w14:paraId="2EF9499E" w14:textId="77777777" w:rsidR="00C6398B" w:rsidRPr="009F7CED" w:rsidRDefault="00C6398B" w:rsidP="00C6398B">
            <w:pPr>
              <w:jc w:val="both"/>
              <w:rPr>
                <w:lang w:eastAsia="es-CO"/>
              </w:rPr>
            </w:pPr>
          </w:p>
        </w:tc>
      </w:tr>
      <w:tr w:rsidR="00C6398B" w:rsidRPr="009F7CED" w14:paraId="1D35CE88"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35A473BA" w14:textId="77777777" w:rsidR="00C6398B" w:rsidRDefault="00C6398B" w:rsidP="00C6398B">
            <w:pPr>
              <w:ind w:left="494"/>
              <w:rPr>
                <w:rFonts w:cs="Arial"/>
                <w:b/>
                <w:color w:val="000000"/>
                <w:sz w:val="22"/>
                <w:szCs w:val="22"/>
              </w:rPr>
            </w:pPr>
          </w:p>
          <w:p w14:paraId="5D0EE678" w14:textId="186F7918" w:rsidR="00C6398B" w:rsidRPr="00C6398B" w:rsidRDefault="00C6398B" w:rsidP="00C6398B">
            <w:pPr>
              <w:pStyle w:val="Prrafodelista"/>
              <w:numPr>
                <w:ilvl w:val="0"/>
                <w:numId w:val="46"/>
              </w:numPr>
              <w:rPr>
                <w:rFonts w:cs="Arial"/>
                <w:b/>
                <w:color w:val="000000"/>
                <w:sz w:val="22"/>
                <w:szCs w:val="22"/>
              </w:rPr>
            </w:pPr>
            <w:r w:rsidRPr="00C6398B">
              <w:rPr>
                <w:rFonts w:cs="Arial"/>
                <w:b/>
                <w:color w:val="000000"/>
                <w:sz w:val="22"/>
                <w:szCs w:val="22"/>
              </w:rPr>
              <w:t>AMBITO DE APLICACIÓN Y SUJETOS A QUIENES VA DIRIGIDO</w:t>
            </w:r>
          </w:p>
          <w:p w14:paraId="05095B51" w14:textId="5300F779" w:rsidR="00C6398B" w:rsidRDefault="00C6398B" w:rsidP="00C6398B">
            <w:pPr>
              <w:rPr>
                <w:rFonts w:cs="Arial"/>
                <w:b/>
                <w:color w:val="000000"/>
                <w:sz w:val="22"/>
                <w:szCs w:val="22"/>
              </w:rPr>
            </w:pPr>
          </w:p>
          <w:p w14:paraId="391D99A5" w14:textId="77777777" w:rsidR="00C6398B" w:rsidRPr="003D4503" w:rsidRDefault="00C6398B" w:rsidP="00C6398B">
            <w:pPr>
              <w:shd w:val="clear" w:color="auto" w:fill="FFFFFF"/>
              <w:jc w:val="both"/>
              <w:rPr>
                <w:rFonts w:cs="Arial"/>
                <w:lang w:eastAsia="es-CO"/>
              </w:rPr>
            </w:pPr>
            <w:r w:rsidRPr="003D4503">
              <w:rPr>
                <w:rFonts w:cs="Arial"/>
                <w:shd w:val="clear" w:color="auto" w:fill="FFFFFF"/>
              </w:rPr>
              <w:t>La</w:t>
            </w:r>
            <w:r w:rsidRPr="003D4503">
              <w:rPr>
                <w:rFonts w:cs="Arial"/>
                <w:lang w:eastAsia="es-CO"/>
              </w:rPr>
              <w:t xml:space="preserve"> política que se pretende expedir busca garantizar la justicia racial hacia la población afrocolombiana, negra, palenquera y raizal mediante el diseño e implementación de planes, programas y proyectos para el acceso, fortalecimiento, creación, producción y circulación en el ecosistema de comunicación y tecnologías de la información e inteligencia artificial asegurando el derecho a la comunicación desde un enfoque diferencial, digno y con participación sectorial y poblacional.</w:t>
            </w:r>
          </w:p>
          <w:p w14:paraId="3F9C1899" w14:textId="77777777" w:rsidR="00C6398B" w:rsidRPr="003D4503" w:rsidRDefault="00C6398B" w:rsidP="00C6398B">
            <w:pPr>
              <w:shd w:val="clear" w:color="auto" w:fill="FFFFFF"/>
              <w:jc w:val="both"/>
              <w:rPr>
                <w:rFonts w:cs="Arial"/>
                <w:lang w:eastAsia="es-CO"/>
              </w:rPr>
            </w:pPr>
          </w:p>
          <w:p w14:paraId="62686E43" w14:textId="77777777" w:rsidR="00C6398B" w:rsidRPr="003D4503" w:rsidRDefault="00C6398B" w:rsidP="00C6398B">
            <w:pPr>
              <w:shd w:val="clear" w:color="auto" w:fill="FFFFFF"/>
              <w:jc w:val="both"/>
              <w:rPr>
                <w:rFonts w:cs="Arial"/>
                <w:shd w:val="clear" w:color="auto" w:fill="FFFFFF"/>
              </w:rPr>
            </w:pPr>
            <w:r w:rsidRPr="003D4503">
              <w:rPr>
                <w:rFonts w:cs="Arial"/>
                <w:lang w:eastAsia="es-CO"/>
              </w:rPr>
              <w:t xml:space="preserve">Esta política está dirigida a </w:t>
            </w:r>
            <w:r w:rsidRPr="003D4503">
              <w:rPr>
                <w:rFonts w:cs="Arial"/>
                <w:shd w:val="clear" w:color="auto" w:fill="FFFFFF"/>
              </w:rPr>
              <w:t xml:space="preserve">los pueblos afrocolombianos, negros, raizales y palenqueros en toda su diversidad territorial, cultural y generacional. Hace referencia a quienes, de forma individual y/o colectiva, hacen parte del sector de las Comunicaciones de las comunidades Afrocolombianas, Negras, Raizales y Palenquera. </w:t>
            </w:r>
          </w:p>
          <w:p w14:paraId="5B5AE185" w14:textId="77777777" w:rsidR="00C6398B" w:rsidRPr="003D4503" w:rsidRDefault="00C6398B" w:rsidP="00C6398B">
            <w:pPr>
              <w:shd w:val="clear" w:color="auto" w:fill="FFFFFF"/>
              <w:jc w:val="both"/>
              <w:rPr>
                <w:rFonts w:cs="Arial"/>
                <w:shd w:val="clear" w:color="auto" w:fill="FFFFFF"/>
              </w:rPr>
            </w:pPr>
          </w:p>
          <w:p w14:paraId="488A9BB5" w14:textId="193E7C80" w:rsidR="00C6398B" w:rsidRPr="003D4503" w:rsidRDefault="00C6398B" w:rsidP="00C6398B">
            <w:pPr>
              <w:shd w:val="clear" w:color="auto" w:fill="FFFFFF"/>
              <w:jc w:val="both"/>
              <w:rPr>
                <w:rFonts w:cs="Arial"/>
                <w:shd w:val="clear" w:color="auto" w:fill="FFFFFF"/>
              </w:rPr>
            </w:pPr>
            <w:r w:rsidRPr="003D4503">
              <w:rPr>
                <w:rFonts w:cs="Arial"/>
                <w:lang w:eastAsia="es-CO"/>
              </w:rPr>
              <w:t>El proyecto aclara que debe entenderse como</w:t>
            </w:r>
            <w:r w:rsidRPr="003D4503">
              <w:rPr>
                <w:rFonts w:cs="Arial"/>
                <w:b/>
                <w:bCs/>
                <w:lang w:eastAsia="es-CO"/>
              </w:rPr>
              <w:t xml:space="preserve"> </w:t>
            </w:r>
            <w:r w:rsidRPr="003D4503">
              <w:rPr>
                <w:rFonts w:cs="Arial"/>
                <w:b/>
                <w:bCs/>
                <w:i/>
                <w:iCs/>
                <w:lang w:eastAsia="es-CO"/>
              </w:rPr>
              <w:t>“</w:t>
            </w:r>
            <w:r w:rsidR="004578C0" w:rsidRPr="004578C0">
              <w:rPr>
                <w:rFonts w:cs="Arial"/>
                <w:i/>
                <w:iCs/>
                <w:shd w:val="clear" w:color="auto" w:fill="FFFFFF"/>
              </w:rPr>
              <w:t>Comunicaciones de las comunidades negras, afrocolombianas, raizales y palenqueras</w:t>
            </w:r>
            <w:r w:rsidRPr="003D4503">
              <w:rPr>
                <w:rFonts w:cs="Arial"/>
                <w:i/>
                <w:iCs/>
                <w:shd w:val="clear" w:color="auto" w:fill="FFFFFF"/>
              </w:rPr>
              <w:t>”</w:t>
            </w:r>
            <w:r w:rsidRPr="003D4503">
              <w:rPr>
                <w:rFonts w:cs="Arial"/>
                <w:shd w:val="clear" w:color="auto" w:fill="FFFFFF"/>
              </w:rPr>
              <w:t xml:space="preserve"> a quienes generan, distribuyen o gestionan información y comunicación desde y para estos pueblos, garantizando su participación, reconocimiento y representación en todos los escenarios de la industria de las Tecnologías de la Información y las Comunicaciones.</w:t>
            </w:r>
          </w:p>
          <w:p w14:paraId="08845A48" w14:textId="77777777" w:rsidR="00C6398B" w:rsidRPr="003D4503" w:rsidRDefault="00C6398B" w:rsidP="00C6398B">
            <w:pPr>
              <w:shd w:val="clear" w:color="auto" w:fill="FFFFFF"/>
              <w:jc w:val="both"/>
              <w:rPr>
                <w:rFonts w:cs="Arial"/>
                <w:shd w:val="clear" w:color="auto" w:fill="FFFFFF"/>
              </w:rPr>
            </w:pPr>
          </w:p>
          <w:p w14:paraId="5888225E" w14:textId="77777777" w:rsidR="00C6398B" w:rsidRPr="003D4503" w:rsidRDefault="00C6398B" w:rsidP="00C6398B">
            <w:pPr>
              <w:shd w:val="clear" w:color="auto" w:fill="FFFFFF"/>
              <w:jc w:val="both"/>
              <w:rPr>
                <w:rFonts w:cs="Arial"/>
                <w:lang w:eastAsia="es-CO"/>
              </w:rPr>
            </w:pPr>
            <w:r w:rsidRPr="003D4503">
              <w:rPr>
                <w:rFonts w:cs="Arial"/>
                <w:lang w:eastAsia="es-CO"/>
              </w:rPr>
              <w:t>Adicional determina que deberá entenderse</w:t>
            </w:r>
            <w:r w:rsidRPr="003D4503">
              <w:rPr>
                <w:rFonts w:cs="Arial"/>
                <w:b/>
                <w:bCs/>
                <w:lang w:eastAsia="es-CO"/>
              </w:rPr>
              <w:t xml:space="preserve"> </w:t>
            </w:r>
            <w:r w:rsidRPr="003D4503">
              <w:rPr>
                <w:rFonts w:cs="Arial"/>
                <w:lang w:eastAsia="es-CO"/>
              </w:rPr>
              <w:t xml:space="preserve">como “ecosistema de comunicación y tecnologías de la información” a los actores, procesos, programas, infraestructuras, normativas y dinámicas sociales, culturales, económicas, comunicacionales y tecnológicas que intervienen en la formación, producción, circulación y consumo de información y comunicación en la nación, y que, interactúan en el acceso, uso, apropiación y producción de contenidos comunicativos y digitales, desde, con y para la población afrocolombiana, raizal, negro y palenquera. </w:t>
            </w:r>
          </w:p>
          <w:p w14:paraId="33CB66DC" w14:textId="77777777" w:rsidR="00C6398B" w:rsidRPr="009F7CED" w:rsidRDefault="00C6398B" w:rsidP="00C6398B">
            <w:pPr>
              <w:rPr>
                <w:rFonts w:cs="Arial"/>
                <w:iCs/>
                <w:color w:val="000000"/>
                <w:sz w:val="22"/>
                <w:szCs w:val="22"/>
              </w:rPr>
            </w:pPr>
          </w:p>
        </w:tc>
      </w:tr>
      <w:tr w:rsidR="00C6398B" w:rsidRPr="009F7CED" w14:paraId="568C284A" w14:textId="77777777" w:rsidTr="0075705D">
        <w:trPr>
          <w:trHeight w:val="278"/>
        </w:trPr>
        <w:tc>
          <w:tcPr>
            <w:tcW w:w="10774" w:type="dxa"/>
            <w:gridSpan w:val="3"/>
            <w:tcBorders>
              <w:bottom w:val="single" w:sz="4" w:space="0" w:color="auto"/>
            </w:tcBorders>
            <w:shd w:val="clear" w:color="auto" w:fill="FFFFFF"/>
            <w:vAlign w:val="center"/>
          </w:tcPr>
          <w:p w14:paraId="6FED2085" w14:textId="77777777" w:rsidR="00C6398B" w:rsidRDefault="00C6398B" w:rsidP="00C6398B">
            <w:pPr>
              <w:rPr>
                <w:rFonts w:cs="Arial"/>
                <w:b/>
                <w:color w:val="000000"/>
                <w:sz w:val="22"/>
                <w:szCs w:val="22"/>
              </w:rPr>
            </w:pPr>
          </w:p>
          <w:p w14:paraId="3440EB42" w14:textId="578A4E5D" w:rsidR="00C6398B" w:rsidRPr="00C6398B" w:rsidRDefault="00C6398B" w:rsidP="00C6398B">
            <w:pPr>
              <w:pStyle w:val="Prrafodelista"/>
              <w:numPr>
                <w:ilvl w:val="0"/>
                <w:numId w:val="46"/>
              </w:numPr>
              <w:rPr>
                <w:rFonts w:cs="Arial"/>
                <w:b/>
                <w:color w:val="000000"/>
                <w:sz w:val="22"/>
                <w:szCs w:val="22"/>
              </w:rPr>
            </w:pPr>
            <w:r w:rsidRPr="00C6398B">
              <w:rPr>
                <w:rFonts w:cs="Arial"/>
                <w:b/>
                <w:color w:val="000000"/>
                <w:sz w:val="22"/>
                <w:szCs w:val="22"/>
              </w:rPr>
              <w:t>VIABILIDAD JURÍDICA</w:t>
            </w:r>
          </w:p>
          <w:p w14:paraId="1C549ABE" w14:textId="77777777" w:rsidR="00C6398B" w:rsidRPr="00C6398B" w:rsidRDefault="00C6398B" w:rsidP="00C6398B">
            <w:pPr>
              <w:ind w:left="494" w:hanging="283"/>
              <w:jc w:val="both"/>
              <w:rPr>
                <w:rFonts w:cs="Arial"/>
                <w:iCs/>
                <w:color w:val="808080"/>
                <w:sz w:val="18"/>
                <w:szCs w:val="22"/>
              </w:rPr>
            </w:pPr>
          </w:p>
          <w:p w14:paraId="0F84C966" w14:textId="77777777" w:rsidR="00C6398B" w:rsidRPr="003D4503" w:rsidRDefault="00C6398B" w:rsidP="00C6398B">
            <w:pPr>
              <w:tabs>
                <w:tab w:val="left" w:pos="156"/>
                <w:tab w:val="left" w:pos="336"/>
              </w:tabs>
              <w:rPr>
                <w:rFonts w:cs="Arial"/>
                <w:b/>
                <w:bCs/>
                <w:color w:val="000000"/>
              </w:rPr>
            </w:pPr>
            <w:r>
              <w:rPr>
                <w:rFonts w:cs="Arial"/>
                <w:b/>
                <w:bCs/>
                <w:lang w:val="es-CO" w:eastAsia="es-CO"/>
              </w:rPr>
              <w:t xml:space="preserve">    </w:t>
            </w:r>
            <w:r w:rsidRPr="003D4503">
              <w:rPr>
                <w:rFonts w:cs="Arial"/>
                <w:b/>
                <w:bCs/>
                <w:lang w:val="es-CO" w:eastAsia="es-CO"/>
              </w:rPr>
              <w:t>3.1. Análisis de las normas que otorgan la competencia para la expedición del proyecto normativo</w:t>
            </w:r>
          </w:p>
          <w:p w14:paraId="742EFE28" w14:textId="77777777" w:rsidR="00C6398B" w:rsidRPr="003D4503" w:rsidRDefault="00C6398B" w:rsidP="00C6398B">
            <w:pPr>
              <w:jc w:val="both"/>
              <w:rPr>
                <w:rFonts w:cs="Arial"/>
                <w:lang w:val="es-CO" w:eastAsia="es-CO"/>
              </w:rPr>
            </w:pPr>
          </w:p>
          <w:p w14:paraId="49D935E6" w14:textId="77777777" w:rsidR="00C6398B" w:rsidRPr="003D4503" w:rsidRDefault="00C6398B" w:rsidP="00C6398B">
            <w:pPr>
              <w:jc w:val="both"/>
              <w:rPr>
                <w:lang w:eastAsia="es-CO"/>
              </w:rPr>
            </w:pPr>
            <w:r w:rsidRPr="003D4503">
              <w:rPr>
                <w:lang w:eastAsia="es-CO"/>
              </w:rPr>
              <w:t xml:space="preserve">El numeral 11 del Artículo 189 de la Constitución Política, establece como facultad a cargo del Presidente de la República, entre otras, las de “11. Ejercer la potestad reglamentaria, mediante la expedición de los decretos, resoluciones y órdenes necesarios para la cumplida ejecución de las leyes”. </w:t>
            </w:r>
          </w:p>
          <w:p w14:paraId="2CF58BA7" w14:textId="77777777" w:rsidR="00C6398B" w:rsidRPr="003D4503" w:rsidRDefault="00C6398B" w:rsidP="00C6398B">
            <w:pPr>
              <w:jc w:val="both"/>
              <w:rPr>
                <w:lang w:eastAsia="es-CO"/>
              </w:rPr>
            </w:pPr>
          </w:p>
          <w:p w14:paraId="62FB4A00" w14:textId="77777777" w:rsidR="00C6398B" w:rsidRPr="003D4503" w:rsidRDefault="00C6398B" w:rsidP="00C6398B">
            <w:pPr>
              <w:jc w:val="both"/>
              <w:rPr>
                <w:lang w:eastAsia="es-CO"/>
              </w:rPr>
            </w:pPr>
            <w:r w:rsidRPr="003D4503">
              <w:rPr>
                <w:lang w:eastAsia="es-CO"/>
              </w:rPr>
              <w:t>En virtud de la Ley 21 de 1991, se aprobó el Convenio número 169 sobre pueblos indígenas y tribales en países independientes, adoptado por la 76ª. reunión de la Conferencia General de la O.I.T., Ginebra 1989, a través de la cual el Estado busca es proteger y promover los derechos de los pueblos indígenas y tribales.</w:t>
            </w:r>
          </w:p>
          <w:p w14:paraId="5D52D503" w14:textId="77777777" w:rsidR="00C6398B" w:rsidRPr="003D4503" w:rsidRDefault="00C6398B" w:rsidP="00C6398B">
            <w:pPr>
              <w:jc w:val="both"/>
              <w:rPr>
                <w:lang w:eastAsia="es-CO"/>
              </w:rPr>
            </w:pPr>
          </w:p>
          <w:p w14:paraId="4DC2CD53" w14:textId="77777777" w:rsidR="00C6398B" w:rsidRPr="003D4503" w:rsidRDefault="00C6398B" w:rsidP="00C6398B">
            <w:pPr>
              <w:jc w:val="both"/>
              <w:rPr>
                <w:lang w:eastAsia="es-CO"/>
              </w:rPr>
            </w:pPr>
            <w:r w:rsidRPr="003D4503">
              <w:rPr>
                <w:lang w:eastAsia="es-CO"/>
              </w:rPr>
              <w:t>La Ley 70 de 1993, tiene como propósito establecer 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al resto de la sociedad colombiana.</w:t>
            </w:r>
          </w:p>
          <w:p w14:paraId="454BBEF2" w14:textId="77777777" w:rsidR="00C6398B" w:rsidRPr="003D4503" w:rsidRDefault="00C6398B" w:rsidP="00C6398B">
            <w:pPr>
              <w:jc w:val="both"/>
              <w:rPr>
                <w:lang w:eastAsia="es-CO"/>
              </w:rPr>
            </w:pPr>
          </w:p>
          <w:p w14:paraId="05E922EF" w14:textId="77777777" w:rsidR="00C6398B" w:rsidRPr="003D4503" w:rsidRDefault="00C6398B" w:rsidP="00C6398B">
            <w:pPr>
              <w:shd w:val="clear" w:color="auto" w:fill="FFFFFF"/>
              <w:jc w:val="both"/>
              <w:rPr>
                <w:rFonts w:cs="Arial"/>
                <w:lang w:eastAsia="es-CO"/>
              </w:rPr>
            </w:pPr>
            <w:r w:rsidRPr="003D4503">
              <w:rPr>
                <w:lang w:eastAsia="es-CO"/>
              </w:rPr>
              <w:t xml:space="preserve">La Ley 2294 de 2023, </w:t>
            </w:r>
            <w:r w:rsidRPr="003D4503">
              <w:rPr>
                <w:rFonts w:cs="Arial"/>
                <w:lang w:eastAsia="es-CO"/>
              </w:rPr>
              <w:t>Por la cual se expide el Plan Nacional de Desarrollo 2022- 2026 “Colombia Potencia Mundial De La Vida” - PND -, establece que “</w:t>
            </w:r>
            <w:r w:rsidRPr="003D4503">
              <w:rPr>
                <w:rFonts w:cs="Arial"/>
                <w:i/>
                <w:iCs/>
                <w:lang w:eastAsia="es-CO"/>
              </w:rPr>
              <w:t>El Gobierno nacional garantizará la inclusión e implementación efectiva del enfoque diferencial e interseccional indígena, afrocolombiano, palenquero y raizal en todos los ejes de transformación y en los ejes transversales del Plan Nacional de Desarrollo.”</w:t>
            </w:r>
          </w:p>
          <w:p w14:paraId="5BEDD635" w14:textId="77777777" w:rsidR="00C6398B" w:rsidRPr="003D4503" w:rsidRDefault="00C6398B" w:rsidP="00C6398B">
            <w:pPr>
              <w:jc w:val="both"/>
              <w:rPr>
                <w:rFonts w:cs="Arial"/>
                <w:lang w:eastAsia="es-CO"/>
              </w:rPr>
            </w:pPr>
          </w:p>
          <w:p w14:paraId="4E3F8F9C" w14:textId="77777777" w:rsidR="00C6398B" w:rsidRPr="003D4503" w:rsidRDefault="00C6398B" w:rsidP="00C6398B">
            <w:pPr>
              <w:ind w:left="494" w:hanging="283"/>
              <w:jc w:val="both"/>
              <w:rPr>
                <w:rFonts w:cs="Arial"/>
                <w:b/>
                <w:bCs/>
                <w:lang w:val="es-CO" w:eastAsia="es-CO"/>
              </w:rPr>
            </w:pPr>
            <w:r w:rsidRPr="003D4503">
              <w:rPr>
                <w:rFonts w:cs="Arial"/>
                <w:b/>
                <w:bCs/>
                <w:lang w:val="es-CO" w:eastAsia="es-CO"/>
              </w:rPr>
              <w:t>3.2 Vigencia de la ley o norma reglamentada o desarrollada</w:t>
            </w:r>
          </w:p>
          <w:p w14:paraId="77754423" w14:textId="77777777" w:rsidR="00C6398B" w:rsidRPr="003D4503" w:rsidRDefault="00C6398B" w:rsidP="00C6398B">
            <w:pPr>
              <w:ind w:left="494" w:hanging="283"/>
              <w:jc w:val="both"/>
              <w:rPr>
                <w:rFonts w:cs="Arial"/>
                <w:lang w:val="es-CO" w:eastAsia="es-CO"/>
              </w:rPr>
            </w:pPr>
          </w:p>
          <w:p w14:paraId="68C3E534" w14:textId="77777777" w:rsidR="00C6398B" w:rsidRPr="003D4503" w:rsidRDefault="00C6398B" w:rsidP="00C6398B">
            <w:pPr>
              <w:ind w:left="494" w:hanging="283"/>
              <w:jc w:val="both"/>
              <w:rPr>
                <w:rFonts w:cs="Arial"/>
                <w:lang w:val="es-CO" w:eastAsia="es-CO"/>
              </w:rPr>
            </w:pPr>
            <w:r w:rsidRPr="003D4503">
              <w:rPr>
                <w:rFonts w:cs="Arial"/>
                <w:lang w:val="es-CO" w:eastAsia="es-CO"/>
              </w:rPr>
              <w:t>Las leyes 21 de 1991, 70 de 1993 y el PND se encuentran vigentes.</w:t>
            </w:r>
          </w:p>
          <w:p w14:paraId="3E3CEAB6" w14:textId="77777777" w:rsidR="00C6398B" w:rsidRPr="003D4503" w:rsidRDefault="00C6398B" w:rsidP="00C6398B">
            <w:pPr>
              <w:ind w:left="494" w:hanging="283"/>
              <w:jc w:val="both"/>
              <w:rPr>
                <w:rFonts w:cs="Arial"/>
                <w:lang w:val="es-CO" w:eastAsia="es-CO"/>
              </w:rPr>
            </w:pPr>
          </w:p>
          <w:p w14:paraId="42051465" w14:textId="77777777" w:rsidR="00C6398B" w:rsidRDefault="00C6398B" w:rsidP="00C6398B">
            <w:pPr>
              <w:ind w:left="494" w:hanging="283"/>
              <w:jc w:val="both"/>
              <w:rPr>
                <w:rFonts w:cs="Arial"/>
                <w:lang w:val="es-CO" w:eastAsia="es-CO"/>
              </w:rPr>
            </w:pPr>
            <w:r w:rsidRPr="003D4503">
              <w:rPr>
                <w:rFonts w:cs="Arial"/>
                <w:lang w:val="es-CO" w:eastAsia="es-CO"/>
              </w:rPr>
              <w:t xml:space="preserve">3.3. Disposiciones derogas, subrogadas, modificadas, adicionadas o sustituidas </w:t>
            </w:r>
          </w:p>
          <w:p w14:paraId="57EC3D15" w14:textId="77777777" w:rsidR="00C6398B" w:rsidRDefault="00C6398B" w:rsidP="00C6398B">
            <w:pPr>
              <w:ind w:left="494" w:hanging="283"/>
              <w:jc w:val="both"/>
              <w:rPr>
                <w:rFonts w:cs="Arial"/>
                <w:lang w:val="es-CO" w:eastAsia="es-CO"/>
              </w:rPr>
            </w:pPr>
          </w:p>
          <w:p w14:paraId="1CF03908" w14:textId="0D3B07FB" w:rsidR="00C6398B" w:rsidRPr="003D4503" w:rsidRDefault="00C6398B" w:rsidP="00C6398B">
            <w:pPr>
              <w:ind w:left="143"/>
              <w:jc w:val="both"/>
              <w:rPr>
                <w:rFonts w:cs="Arial"/>
                <w:lang w:val="es-CO" w:eastAsia="es-CO"/>
              </w:rPr>
            </w:pPr>
            <w:r>
              <w:rPr>
                <w:rFonts w:cs="Arial"/>
                <w:lang w:val="es-CO" w:eastAsia="es-CO"/>
              </w:rPr>
              <w:t>A</w:t>
            </w:r>
            <w:r w:rsidRPr="0043136C">
              <w:rPr>
                <w:rFonts w:cs="Arial"/>
                <w:lang w:val="es-CO" w:eastAsia="es-CO"/>
              </w:rPr>
              <w:t>diciona el Título 31 a la Parte 2 del Libro 2 del Decreto 1078 de 2015, Único Reglamentario del Sector de</w:t>
            </w:r>
            <w:r>
              <w:rPr>
                <w:rFonts w:cs="Arial"/>
                <w:lang w:val="es-CO" w:eastAsia="es-CO"/>
              </w:rPr>
              <w:t xml:space="preserve"> </w:t>
            </w:r>
            <w:r w:rsidRPr="0043136C">
              <w:rPr>
                <w:rFonts w:cs="Arial"/>
                <w:lang w:val="es-CO" w:eastAsia="es-CO"/>
              </w:rPr>
              <w:t>Tecnologías de la Información y las Comunicaciones</w:t>
            </w:r>
            <w:r w:rsidRPr="003D4503">
              <w:rPr>
                <w:rFonts w:cs="Arial"/>
                <w:lang w:val="es-CO" w:eastAsia="es-CO"/>
              </w:rPr>
              <w:t>.</w:t>
            </w:r>
          </w:p>
          <w:p w14:paraId="46C898AF" w14:textId="77777777" w:rsidR="00C6398B" w:rsidRPr="003D4503" w:rsidRDefault="00C6398B" w:rsidP="00C6398B">
            <w:pPr>
              <w:ind w:left="494" w:hanging="283"/>
              <w:jc w:val="both"/>
              <w:rPr>
                <w:rFonts w:cs="Arial"/>
                <w:lang w:val="es-CO" w:eastAsia="es-CO"/>
              </w:rPr>
            </w:pPr>
          </w:p>
          <w:p w14:paraId="189654EF" w14:textId="77777777" w:rsidR="00C6398B" w:rsidRPr="003D4503" w:rsidRDefault="00C6398B" w:rsidP="00C6398B">
            <w:pPr>
              <w:ind w:left="494" w:hanging="283"/>
              <w:jc w:val="both"/>
              <w:rPr>
                <w:rFonts w:cs="Arial"/>
                <w:b/>
                <w:bCs/>
                <w:lang w:val="es-CO" w:eastAsia="es-CO"/>
              </w:rPr>
            </w:pPr>
            <w:r w:rsidRPr="003D4503">
              <w:rPr>
                <w:rFonts w:cs="Arial"/>
                <w:b/>
                <w:bCs/>
                <w:lang w:val="es-CO" w:eastAsia="es-CO"/>
              </w:rPr>
              <w:t>3.4 Revisión y análisis de la jurisprudencia que tenga impacto o sea relevante para la expedición del proyecto normativo (órganos de cierre de cada jurisdicción)</w:t>
            </w:r>
          </w:p>
          <w:p w14:paraId="5A4502C1" w14:textId="77777777" w:rsidR="00C6398B" w:rsidRPr="003D4503" w:rsidRDefault="00C6398B" w:rsidP="00C6398B">
            <w:pPr>
              <w:ind w:left="494" w:hanging="283"/>
              <w:jc w:val="both"/>
              <w:rPr>
                <w:rFonts w:cs="Arial"/>
                <w:lang w:val="es-CO" w:eastAsia="es-CO"/>
              </w:rPr>
            </w:pPr>
          </w:p>
          <w:p w14:paraId="24878D37" w14:textId="77777777" w:rsidR="00C6398B" w:rsidRPr="003D4503" w:rsidRDefault="00C6398B" w:rsidP="00C6398B">
            <w:pPr>
              <w:pStyle w:val="Listavistosa-nfasis11"/>
              <w:spacing w:after="0" w:line="240" w:lineRule="auto"/>
              <w:ind w:left="494"/>
              <w:jc w:val="both"/>
              <w:rPr>
                <w:rFonts w:ascii="Arial" w:hAnsi="Arial" w:cs="Arial"/>
                <w:iCs/>
                <w:sz w:val="20"/>
                <w:szCs w:val="20"/>
              </w:rPr>
            </w:pPr>
            <w:r w:rsidRPr="003D4503">
              <w:rPr>
                <w:rFonts w:ascii="Arial" w:hAnsi="Arial" w:cs="Arial"/>
                <w:iCs/>
                <w:sz w:val="20"/>
                <w:szCs w:val="20"/>
              </w:rPr>
              <w:t xml:space="preserve">La jurisprudencia constitucional y contencioso-administrativa colombiana ha desarrollado un sólido cuerpo doctrinal que respalda y orienta la expedición del presente proyecto normativo, al reconocer el carácter fundamental de los </w:t>
            </w:r>
            <w:r w:rsidRPr="003D4503">
              <w:rPr>
                <w:rFonts w:ascii="Arial" w:hAnsi="Arial" w:cs="Arial"/>
                <w:iCs/>
                <w:sz w:val="20"/>
                <w:szCs w:val="20"/>
              </w:rPr>
              <w:lastRenderedPageBreak/>
              <w:t xml:space="preserve">derechos a la igualdad, la identidad cultural, la comunicación y la participación efectiva de los pueblos afrocolombianos, negros, raizales y palenqueros. </w:t>
            </w:r>
          </w:p>
          <w:p w14:paraId="7F414E6B" w14:textId="77777777" w:rsidR="00C6398B" w:rsidRPr="003D4503" w:rsidRDefault="00C6398B" w:rsidP="00C6398B">
            <w:pPr>
              <w:pStyle w:val="Listavistosa-nfasis11"/>
              <w:spacing w:after="0" w:line="240" w:lineRule="auto"/>
              <w:ind w:left="494"/>
              <w:jc w:val="both"/>
              <w:rPr>
                <w:rFonts w:ascii="Arial" w:hAnsi="Arial" w:cs="Arial"/>
                <w:iCs/>
                <w:sz w:val="20"/>
                <w:szCs w:val="20"/>
              </w:rPr>
            </w:pPr>
          </w:p>
          <w:p w14:paraId="076A5E1A" w14:textId="77777777" w:rsidR="00C6398B" w:rsidRPr="003D4503" w:rsidRDefault="00C6398B" w:rsidP="00C6398B">
            <w:pPr>
              <w:pStyle w:val="Listavistosa-nfasis11"/>
              <w:spacing w:after="0" w:line="240" w:lineRule="auto"/>
              <w:ind w:left="494"/>
              <w:jc w:val="both"/>
              <w:rPr>
                <w:rFonts w:ascii="Arial" w:hAnsi="Arial" w:cs="Arial"/>
                <w:iCs/>
                <w:sz w:val="20"/>
                <w:szCs w:val="20"/>
              </w:rPr>
            </w:pPr>
            <w:r w:rsidRPr="003D4503">
              <w:rPr>
                <w:rFonts w:ascii="Arial" w:hAnsi="Arial" w:cs="Arial"/>
                <w:iCs/>
                <w:sz w:val="20"/>
                <w:szCs w:val="20"/>
              </w:rPr>
              <w:t>La Corte Constitucional, desde la Sentencia T-422 de 1996 y la Sentencia T-025 de 2004, ha declarado que las comunidades étnicas afrocolombianas se encuentran en situación de vulnerabilidad estructural, lo que impone al Estado la obligación de adoptar medidas específicas y diferenciadas que garanticen su inclusión y reparación. En el Auto 266 de 2017, dentro del seguimiento a la Sentencia T-025, el alto tribunal reconoció la persistencia de brechas de exclusión y ordenó la formulación de políticas públicas integrales que atendieran los impactos desproporcionados del desplazamiento y la marginalidad sobre la población afrocolombiana.</w:t>
            </w:r>
          </w:p>
          <w:p w14:paraId="16A8CF68" w14:textId="77777777" w:rsidR="00C6398B" w:rsidRPr="003D4503" w:rsidRDefault="00C6398B" w:rsidP="00C6398B">
            <w:pPr>
              <w:pStyle w:val="Listavistosa-nfasis11"/>
              <w:spacing w:after="0" w:line="240" w:lineRule="auto"/>
              <w:ind w:left="494"/>
              <w:jc w:val="both"/>
              <w:rPr>
                <w:rFonts w:ascii="Arial" w:hAnsi="Arial" w:cs="Arial"/>
                <w:iCs/>
                <w:sz w:val="20"/>
                <w:szCs w:val="20"/>
              </w:rPr>
            </w:pPr>
          </w:p>
          <w:p w14:paraId="652998F4" w14:textId="77777777" w:rsidR="00C6398B" w:rsidRPr="003D4503" w:rsidRDefault="00C6398B" w:rsidP="00C6398B">
            <w:pPr>
              <w:pStyle w:val="Listavistosa-nfasis11"/>
              <w:spacing w:after="0" w:line="240" w:lineRule="auto"/>
              <w:ind w:left="494"/>
              <w:jc w:val="both"/>
              <w:rPr>
                <w:rFonts w:ascii="Arial" w:hAnsi="Arial" w:cs="Arial"/>
                <w:iCs/>
                <w:sz w:val="20"/>
                <w:szCs w:val="20"/>
              </w:rPr>
            </w:pPr>
            <w:r w:rsidRPr="003D4503">
              <w:rPr>
                <w:rFonts w:ascii="Arial" w:hAnsi="Arial" w:cs="Arial"/>
                <w:iCs/>
                <w:sz w:val="20"/>
                <w:szCs w:val="20"/>
              </w:rPr>
              <w:t>Del mismo modo, la jurisprudencia constitucional ha enfatizado que la comunicación y el acceso a la información constituyen derechos habilitantes para el ejercicio de otros derechos fundamentales, especialmente en contextos de desigualdad histórica. En decisiones como la Sentencia C-274 de 2013 y la T-912 de 2014, la Corte reiteró que la libertad de expresión y el derecho a fundar medios de comunicación propios hacen parte del núcleo esencial de la autonomía cultural y del pluralismo democrático, principios que obligan al Estado a crear condiciones reales para que los pueblos étnicos tengan presencia en el espacio público mediático y tecnológico. Estas líneas jurisprudenciales fundamentan la necesidad de una política diferenciada en materia de comunicación y TIC que no se limite al acceso técnico, sino que promueva narrativas, lenguajes y representaciones justas de la afrocolombianidad.</w:t>
            </w:r>
          </w:p>
          <w:p w14:paraId="07DDB01F" w14:textId="77777777" w:rsidR="00C6398B" w:rsidRPr="003D4503" w:rsidRDefault="00C6398B" w:rsidP="00C6398B">
            <w:pPr>
              <w:pStyle w:val="Listavistosa-nfasis11"/>
              <w:spacing w:after="0" w:line="240" w:lineRule="auto"/>
              <w:ind w:left="494"/>
              <w:jc w:val="both"/>
              <w:rPr>
                <w:rFonts w:ascii="Arial" w:hAnsi="Arial" w:cs="Arial"/>
                <w:iCs/>
                <w:sz w:val="20"/>
                <w:szCs w:val="20"/>
              </w:rPr>
            </w:pPr>
          </w:p>
          <w:p w14:paraId="5EBA42D1" w14:textId="77777777" w:rsidR="00C6398B" w:rsidRPr="003D4503" w:rsidRDefault="00C6398B" w:rsidP="00C6398B">
            <w:pPr>
              <w:pStyle w:val="Listavistosa-nfasis11"/>
              <w:spacing w:after="0" w:line="240" w:lineRule="auto"/>
              <w:ind w:left="494"/>
              <w:jc w:val="both"/>
              <w:rPr>
                <w:rFonts w:ascii="Arial" w:hAnsi="Arial" w:cs="Arial"/>
                <w:iCs/>
                <w:sz w:val="20"/>
                <w:szCs w:val="20"/>
              </w:rPr>
            </w:pPr>
            <w:r w:rsidRPr="003D4503">
              <w:rPr>
                <w:rFonts w:ascii="Arial" w:hAnsi="Arial" w:cs="Arial"/>
                <w:iCs/>
                <w:sz w:val="20"/>
                <w:szCs w:val="20"/>
              </w:rPr>
              <w:t>De manera complementaria, la jurisprudencia sobre consulta previa</w:t>
            </w:r>
            <w:r>
              <w:rPr>
                <w:rFonts w:ascii="Arial" w:hAnsi="Arial" w:cs="Arial"/>
                <w:iCs/>
                <w:sz w:val="20"/>
                <w:szCs w:val="20"/>
              </w:rPr>
              <w:t xml:space="preserve">, </w:t>
            </w:r>
            <w:r w:rsidRPr="003D4503">
              <w:rPr>
                <w:rFonts w:ascii="Arial" w:hAnsi="Arial" w:cs="Arial"/>
                <w:iCs/>
                <w:sz w:val="20"/>
                <w:szCs w:val="20"/>
              </w:rPr>
              <w:t>especialmente las sentencias C</w:t>
            </w:r>
            <w:r>
              <w:rPr>
                <w:rFonts w:ascii="Arial" w:hAnsi="Arial" w:cs="Arial"/>
                <w:iCs/>
                <w:sz w:val="20"/>
                <w:szCs w:val="20"/>
              </w:rPr>
              <w:t>-</w:t>
            </w:r>
            <w:r w:rsidRPr="003D4503">
              <w:rPr>
                <w:rFonts w:ascii="Arial" w:hAnsi="Arial" w:cs="Arial"/>
                <w:iCs/>
                <w:sz w:val="20"/>
                <w:szCs w:val="20"/>
              </w:rPr>
              <w:t>030 de 2008, C-461 de 2008, C-576 de 2014 y SU-123 de 2018</w:t>
            </w:r>
            <w:r>
              <w:rPr>
                <w:rFonts w:ascii="Arial" w:hAnsi="Arial" w:cs="Arial"/>
                <w:iCs/>
                <w:sz w:val="20"/>
                <w:szCs w:val="20"/>
              </w:rPr>
              <w:t xml:space="preserve">, </w:t>
            </w:r>
            <w:r w:rsidRPr="003D4503">
              <w:rPr>
                <w:rFonts w:ascii="Arial" w:hAnsi="Arial" w:cs="Arial"/>
                <w:iCs/>
                <w:sz w:val="20"/>
                <w:szCs w:val="20"/>
              </w:rPr>
              <w:t xml:space="preserve">ha establecido que toda medida legislativa o administrativa que pueda afectar directamente a comunidades étnicas debe ser objeto de un proceso previo, libre e informado de consulta y concertación. En este sentido, el proceso participativo que dio origen a la Política AFROTIC, desarrollado con espacios de participación sectorial, espacios poblacionales y espacios interinstitucionales y territoriales compilados en relatorías, da cuenta de las exigencias de la Corte y con los estándares internacionales contenidos en el Convenio 169 de la OIT y la Declaración de las Naciones Unidas sobre los Derechos de los Pueblos Afrodescendientes y Afrodescendientes de las Américas. Así mismo, responde al concepto emitido por MinInterior en su radicado </w:t>
            </w:r>
            <w:r w:rsidRPr="003D4503">
              <w:rPr>
                <w:rFonts w:ascii="Arial" w:hAnsi="Arial" w:cs="Arial"/>
                <w:iCs/>
                <w:sz w:val="20"/>
                <w:szCs w:val="20"/>
                <w:u w:val="single"/>
              </w:rPr>
              <w:t>2025-2-002410-039407 Id: 610464</w:t>
            </w:r>
            <w:r w:rsidRPr="00EE3AF8">
              <w:rPr>
                <w:rFonts w:ascii="Arial" w:hAnsi="Arial" w:cs="Arial"/>
                <w:iCs/>
                <w:sz w:val="20"/>
                <w:szCs w:val="20"/>
              </w:rPr>
              <w:t xml:space="preserve"> </w:t>
            </w:r>
            <w:r w:rsidRPr="003D4503">
              <w:rPr>
                <w:rFonts w:ascii="Arial" w:hAnsi="Arial" w:cs="Arial"/>
                <w:iCs/>
                <w:sz w:val="20"/>
                <w:szCs w:val="20"/>
              </w:rPr>
              <w:t>donde refiere que: “no es una medida administrativa sujeta al desarrollo de consulta previa”</w:t>
            </w:r>
          </w:p>
          <w:p w14:paraId="2AA2368D" w14:textId="77777777" w:rsidR="00C6398B" w:rsidRPr="003D4503" w:rsidRDefault="00C6398B" w:rsidP="00C6398B">
            <w:pPr>
              <w:pStyle w:val="Listavistosa-nfasis11"/>
              <w:spacing w:after="0" w:line="240" w:lineRule="auto"/>
              <w:ind w:left="494"/>
              <w:jc w:val="both"/>
              <w:rPr>
                <w:rFonts w:ascii="Arial" w:hAnsi="Arial" w:cs="Arial"/>
                <w:iCs/>
                <w:sz w:val="20"/>
                <w:szCs w:val="20"/>
              </w:rPr>
            </w:pPr>
          </w:p>
          <w:p w14:paraId="2C1384E8" w14:textId="77777777" w:rsidR="00C6398B" w:rsidRPr="003D4503" w:rsidRDefault="00C6398B" w:rsidP="00C6398B">
            <w:pPr>
              <w:pStyle w:val="Listavistosa-nfasis11"/>
              <w:spacing w:after="0" w:line="240" w:lineRule="auto"/>
              <w:ind w:left="494"/>
              <w:jc w:val="both"/>
              <w:rPr>
                <w:rFonts w:ascii="Arial" w:hAnsi="Arial" w:cs="Arial"/>
                <w:iCs/>
                <w:sz w:val="20"/>
                <w:szCs w:val="20"/>
              </w:rPr>
            </w:pPr>
            <w:r w:rsidRPr="003D4503">
              <w:rPr>
                <w:rFonts w:ascii="Arial" w:hAnsi="Arial" w:cs="Arial"/>
                <w:iCs/>
                <w:sz w:val="20"/>
                <w:szCs w:val="20"/>
              </w:rPr>
              <w:t>Finalmente, la jurisprudencia del Consejo de Estado, en armonía con la Corte Constitucional, ha señalado que la formulación de políticas públicas con enfoque diferencial constituye un deber administrativo derivado del principio de igualdad material (artículo 13 de la Constitución) y de la obligación de reparación histórica. En pronunciamientos como la Sentencia del 17 de marzo de 2016, Exp. 11001-03-26-000-2013-00018-00, el alto tribunal reafirmó que la ausencia de medidas específicas para comunidades étnicas puede configurar una omisión estatal violatoria de derechos fundamentales.</w:t>
            </w:r>
          </w:p>
          <w:p w14:paraId="03DE8F47" w14:textId="77777777" w:rsidR="00C6398B" w:rsidRPr="003D4503" w:rsidRDefault="00C6398B" w:rsidP="00C6398B">
            <w:pPr>
              <w:pStyle w:val="Listavistosa-nfasis11"/>
              <w:spacing w:after="0" w:line="240" w:lineRule="auto"/>
              <w:ind w:left="494"/>
              <w:jc w:val="both"/>
              <w:rPr>
                <w:rFonts w:ascii="Arial" w:hAnsi="Arial" w:cs="Arial"/>
                <w:iCs/>
                <w:sz w:val="20"/>
                <w:szCs w:val="20"/>
              </w:rPr>
            </w:pPr>
          </w:p>
          <w:p w14:paraId="0C2B45DA" w14:textId="77777777" w:rsidR="00C6398B" w:rsidRDefault="00C6398B" w:rsidP="00C6398B">
            <w:pPr>
              <w:pStyle w:val="Listavistosa-nfasis11"/>
              <w:spacing w:after="0" w:line="240" w:lineRule="auto"/>
              <w:ind w:left="494"/>
              <w:jc w:val="both"/>
              <w:rPr>
                <w:rFonts w:ascii="Arial" w:hAnsi="Arial" w:cs="Arial"/>
                <w:iCs/>
                <w:sz w:val="20"/>
                <w:szCs w:val="20"/>
              </w:rPr>
            </w:pPr>
            <w:r w:rsidRPr="003D4503">
              <w:rPr>
                <w:rFonts w:ascii="Arial" w:hAnsi="Arial" w:cs="Arial"/>
                <w:iCs/>
                <w:sz w:val="20"/>
                <w:szCs w:val="20"/>
              </w:rPr>
              <w:t>En conjunto, este cuerpo jurisprudencial no solo legitima, sino que obliga al Estado colombiano a desarrollar políticas públicas especializadas que garanticen la justicia racial en los ámbitos de la comunicación y la tecnología, asegurando que la igualdad formal se traduzca en igualdad sustantiva. La expedición del presente decreto, por tanto, constituye una respuesta institucional a la doctrina constitucional y convencional que demanda la adopción de políticas efectivas, sostenibles y participativas que reconozcan la comunicación como un derecho colectivo, una herramienta de reparación y un eje central para la consolidación del Estado social, pluriétnico y multicultural de derecho.</w:t>
            </w:r>
          </w:p>
          <w:p w14:paraId="7323725E" w14:textId="77777777" w:rsidR="00C6398B" w:rsidRPr="003D4503" w:rsidRDefault="00C6398B" w:rsidP="00C6398B">
            <w:pPr>
              <w:pStyle w:val="Listavistosa-nfasis11"/>
              <w:spacing w:after="0" w:line="240" w:lineRule="auto"/>
              <w:ind w:left="494"/>
              <w:jc w:val="both"/>
              <w:rPr>
                <w:rFonts w:ascii="Arial" w:hAnsi="Arial" w:cs="Arial"/>
                <w:iCs/>
                <w:sz w:val="20"/>
                <w:szCs w:val="20"/>
              </w:rPr>
            </w:pPr>
          </w:p>
          <w:p w14:paraId="31E76680" w14:textId="77777777" w:rsidR="00C6398B" w:rsidRPr="003D4503" w:rsidRDefault="00C6398B" w:rsidP="00C6398B">
            <w:pPr>
              <w:ind w:left="494" w:hanging="283"/>
              <w:jc w:val="both"/>
              <w:rPr>
                <w:rFonts w:cs="Arial"/>
                <w:b/>
                <w:bCs/>
                <w:lang w:val="es-CO" w:eastAsia="es-CO"/>
              </w:rPr>
            </w:pPr>
            <w:r w:rsidRPr="003D4503">
              <w:rPr>
                <w:rFonts w:cs="Arial"/>
                <w:b/>
                <w:bCs/>
                <w:lang w:val="es-CO" w:eastAsia="es-CO"/>
              </w:rPr>
              <w:t xml:space="preserve">3.5 Circunstancias jurídicas adicionales </w:t>
            </w:r>
          </w:p>
          <w:p w14:paraId="15541B23" w14:textId="77777777" w:rsidR="00C6398B" w:rsidRPr="003D4503" w:rsidRDefault="00C6398B" w:rsidP="00C6398B">
            <w:pPr>
              <w:ind w:left="494" w:hanging="283"/>
              <w:jc w:val="both"/>
              <w:rPr>
                <w:rFonts w:cs="Arial"/>
                <w:lang w:val="es-CO" w:eastAsia="es-CO"/>
              </w:rPr>
            </w:pPr>
          </w:p>
          <w:p w14:paraId="56A1D100" w14:textId="77777777" w:rsidR="00C6398B" w:rsidRDefault="00C6398B" w:rsidP="00C6398B">
            <w:pPr>
              <w:ind w:left="494" w:hanging="283"/>
              <w:jc w:val="both"/>
              <w:rPr>
                <w:rFonts w:cs="Arial"/>
                <w:lang w:val="es-CO" w:eastAsia="es-CO"/>
              </w:rPr>
            </w:pPr>
            <w:r w:rsidRPr="003D4503">
              <w:rPr>
                <w:rFonts w:cs="Arial"/>
                <w:lang w:val="es-CO" w:eastAsia="es-CO"/>
              </w:rPr>
              <w:t xml:space="preserve">     Además de las normas habilitantes y la jurisprudencia constitucional ya analizada, la expedición del presente proyecto normativo se sustenta en circunstancias jurídicas complementarias que refuerzan su validez formal y material. En primer lugar, el Ministerio del Interior, mediante concepto técnico-jurídico emitido por la Dirección de la Autoridad Nacional de Consulta Previa (radicado 2025-2-002410-039407 del 12 de septiembre de 2025), determinó que el Decreto “Por medio del cual se adopta la Política Social de Comunicación, Tecnologías de la Información </w:t>
            </w:r>
            <w:r w:rsidRPr="003D4503">
              <w:rPr>
                <w:rFonts w:cs="Arial"/>
                <w:lang w:val="es-CO" w:eastAsia="es-CO"/>
              </w:rPr>
              <w:lastRenderedPageBreak/>
              <w:t xml:space="preserve">para la Justicia Racial de los Pueblos Afrocolombianos, Negros, Raizales y Palenqueros” no constituye una medida administrativa sujeta al procedimiento de Consulta Previa. </w:t>
            </w:r>
          </w:p>
          <w:p w14:paraId="18DBCB30" w14:textId="77777777" w:rsidR="00C6398B" w:rsidRDefault="00C6398B" w:rsidP="00C6398B">
            <w:pPr>
              <w:ind w:left="494" w:hanging="283"/>
              <w:jc w:val="both"/>
              <w:rPr>
                <w:rFonts w:cs="Arial"/>
                <w:lang w:val="es-CO" w:eastAsia="es-CO"/>
              </w:rPr>
            </w:pPr>
          </w:p>
          <w:p w14:paraId="430EB047" w14:textId="77777777" w:rsidR="00C6398B" w:rsidRDefault="00C6398B" w:rsidP="00C6398B">
            <w:pPr>
              <w:ind w:left="426"/>
              <w:jc w:val="both"/>
              <w:rPr>
                <w:rFonts w:cs="Arial"/>
                <w:lang w:val="es-CO" w:eastAsia="es-CO"/>
              </w:rPr>
            </w:pPr>
            <w:r w:rsidRPr="003D4503">
              <w:rPr>
                <w:rFonts w:cs="Arial"/>
                <w:lang w:val="es-CO" w:eastAsia="es-CO"/>
              </w:rPr>
              <w:t>Dicha conclusión se fundamenta en que la iniciativa no introduce restricciones, gravámenes ni modificaciones del estatus jurídico o cultural de las comunidades afrocolombianas, sino que desarrolla un marco programático que promueve sus derechos, preserva su autonomía y fue formulado mediante procesos amplios de participación y concertación con actores afro en el marco del Espacio Nacional de Consulta Previa (ENCP) y de los compromisos del Acuerdo NT4-148 del Plan Nacional de Desarrollo 2022-2026.</w:t>
            </w:r>
          </w:p>
          <w:p w14:paraId="258D6458" w14:textId="77777777" w:rsidR="00C6398B" w:rsidRDefault="00C6398B" w:rsidP="00C6398B">
            <w:pPr>
              <w:ind w:left="426"/>
              <w:jc w:val="both"/>
              <w:rPr>
                <w:rFonts w:cs="Arial"/>
                <w:lang w:val="es-CO" w:eastAsia="es-CO"/>
              </w:rPr>
            </w:pPr>
          </w:p>
          <w:p w14:paraId="3C4F418F" w14:textId="77777777" w:rsidR="00C6398B" w:rsidRPr="003D4503" w:rsidRDefault="00C6398B" w:rsidP="00C6398B">
            <w:pPr>
              <w:ind w:left="426"/>
              <w:jc w:val="both"/>
              <w:rPr>
                <w:rFonts w:cs="Arial"/>
                <w:lang w:val="es-CO" w:eastAsia="es-CO"/>
              </w:rPr>
            </w:pPr>
            <w:r w:rsidRPr="003D4503">
              <w:rPr>
                <w:rFonts w:cs="Arial"/>
                <w:lang w:val="es-CO" w:eastAsia="es-CO"/>
              </w:rPr>
              <w:t xml:space="preserve">El concepto ministerial reconoce que la política fue elaborada bajo un enfoque participativo, técnico y diferencial, con respaldo documental de espacios de diálogo, congresos y mesas desarrollados entre 2023 y 2024 en distintas regiones del país, con antecedentes significativos desde 2013, en el levantamiento de información, lo que demuestra un proceso de participación efectiva y conforme al principio de buena fe. </w:t>
            </w:r>
          </w:p>
          <w:p w14:paraId="4792F0A0" w14:textId="77777777" w:rsidR="00C6398B" w:rsidRPr="003D4503" w:rsidRDefault="00C6398B" w:rsidP="00C6398B">
            <w:pPr>
              <w:ind w:left="494" w:hanging="283"/>
              <w:jc w:val="both"/>
              <w:rPr>
                <w:rFonts w:cs="Arial"/>
                <w:lang w:val="es-CO" w:eastAsia="es-CO"/>
              </w:rPr>
            </w:pPr>
          </w:p>
          <w:p w14:paraId="6B26169E" w14:textId="77777777" w:rsidR="00C6398B" w:rsidRPr="003D4503" w:rsidRDefault="00C6398B" w:rsidP="00C6398B">
            <w:pPr>
              <w:ind w:left="494" w:hanging="283"/>
              <w:jc w:val="both"/>
              <w:rPr>
                <w:rFonts w:cs="Arial"/>
                <w:lang w:val="es-CO" w:eastAsia="es-CO"/>
              </w:rPr>
            </w:pPr>
            <w:r w:rsidRPr="003D4503">
              <w:rPr>
                <w:rFonts w:cs="Arial"/>
                <w:lang w:val="es-CO" w:eastAsia="es-CO"/>
              </w:rPr>
              <w:t xml:space="preserve">     Asimismo, precisa que la medida no regula materias contenidas en el Convenio 169 de la OIT ni afecta de manera directa los elementos definitorios de la identidad étnica afrodescendiente, por lo que la consulta previa no resulta jurídicamente exigible para la adopción del decreto.</w:t>
            </w:r>
          </w:p>
          <w:p w14:paraId="2F3EAC34" w14:textId="77777777" w:rsidR="00C6398B" w:rsidRPr="003D4503" w:rsidRDefault="00C6398B" w:rsidP="00C6398B">
            <w:pPr>
              <w:ind w:left="494" w:hanging="283"/>
              <w:jc w:val="both"/>
              <w:rPr>
                <w:rFonts w:cs="Arial"/>
                <w:lang w:val="es-CO" w:eastAsia="es-CO"/>
              </w:rPr>
            </w:pPr>
          </w:p>
          <w:p w14:paraId="126103A9" w14:textId="77777777" w:rsidR="00C6398B" w:rsidRPr="003D4503" w:rsidRDefault="00C6398B" w:rsidP="00C6398B">
            <w:pPr>
              <w:ind w:left="494" w:hanging="283"/>
              <w:jc w:val="both"/>
              <w:rPr>
                <w:rFonts w:cs="Arial"/>
                <w:lang w:val="es-CO" w:eastAsia="es-CO"/>
              </w:rPr>
            </w:pPr>
            <w:r w:rsidRPr="003D4503">
              <w:rPr>
                <w:rFonts w:cs="Arial"/>
                <w:lang w:val="es-CO" w:eastAsia="es-CO"/>
              </w:rPr>
              <w:t xml:space="preserve">     Estas conclusiones constituyen una circunstancia jurídica decisiva para la viabilidad del decreto, pues despejan cualquier duda sobre la obligación de surtir un proceso formal de consulta previa en su fase de adopción, garantizando la seguridad jurídica del acto administrativo y la continuidad de la política en el marco de la planeación estatal. De igual forma, el concepto refuerza la coordinación interinstitucional entre el MinTIC, el Ministerio de las Culturas, las Artes y los Saberes, Ministerio de la Igualdad, el Ministerio del Interior y las entidades territoriales, quienes concurrirán en la ejecución de los ejes estratégicos de la política, asegurando coherencia normativa con el Decreto 820 de 2023 (agenda de reparación histórica) y con los principios de pluralidad, justicia racial y no apropiación cultural.</w:t>
            </w:r>
          </w:p>
          <w:p w14:paraId="2ED629C9" w14:textId="77777777" w:rsidR="00C6398B" w:rsidRPr="003D4503" w:rsidRDefault="00C6398B" w:rsidP="00C6398B">
            <w:pPr>
              <w:ind w:left="494" w:hanging="283"/>
              <w:jc w:val="both"/>
              <w:rPr>
                <w:rFonts w:cs="Arial"/>
                <w:lang w:val="es-CO" w:eastAsia="es-CO"/>
              </w:rPr>
            </w:pPr>
          </w:p>
          <w:p w14:paraId="74720DE6" w14:textId="23C21687" w:rsidR="00C6398B" w:rsidRPr="009F7CED" w:rsidRDefault="00C6398B" w:rsidP="00C6398B">
            <w:pPr>
              <w:ind w:left="494" w:hanging="283"/>
              <w:jc w:val="both"/>
              <w:rPr>
                <w:rFonts w:cs="Arial"/>
                <w:sz w:val="22"/>
                <w:szCs w:val="22"/>
                <w:lang w:val="es-CO" w:eastAsia="es-CO"/>
              </w:rPr>
            </w:pPr>
            <w:r w:rsidRPr="003D4503">
              <w:rPr>
                <w:rFonts w:cs="Arial"/>
                <w:lang w:val="es-CO" w:eastAsia="es-CO"/>
              </w:rPr>
              <w:t xml:space="preserve">     En síntesis, el análisis jurídico adicional confirma que la Política AFROTIC cumple con los requisitos de legalidad, competencia y participación, no vulnera derechos colectivos ni individuales de las comunidades, y se alinea con los estándares internacionales de protección de pueblos étnicos. Este conjunto de elementos otorga al decreto una base jurídica sólida y suficiente, respaldada por autoridad competente, garantizando su validez dentro del ordenamiento administrativo y su coherencia con el bloque de constitucionalidad y los compromisos derivados del Plan Nacional de Desarrollo</w:t>
            </w:r>
            <w:r w:rsidRPr="00991637">
              <w:rPr>
                <w:rFonts w:cs="Arial"/>
                <w:sz w:val="22"/>
                <w:szCs w:val="22"/>
                <w:lang w:val="es-CO" w:eastAsia="es-CO"/>
              </w:rPr>
              <w:t>.</w:t>
            </w:r>
          </w:p>
        </w:tc>
      </w:tr>
      <w:tr w:rsidR="00C6398B" w:rsidRPr="009F7CED" w14:paraId="6EEDB6EA"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F282E9" w14:textId="77777777" w:rsidR="00C6398B" w:rsidRPr="007F6887" w:rsidRDefault="00C6398B" w:rsidP="00C6398B">
            <w:pPr>
              <w:rPr>
                <w:rFonts w:cs="Arial"/>
                <w:b/>
                <w:color w:val="000000" w:themeColor="text1"/>
                <w:sz w:val="22"/>
                <w:szCs w:val="22"/>
              </w:rPr>
            </w:pPr>
          </w:p>
          <w:p w14:paraId="4795114A" w14:textId="5CE84E4B" w:rsidR="00C6398B" w:rsidRPr="007F6887" w:rsidRDefault="00C6398B" w:rsidP="00C6398B">
            <w:pPr>
              <w:numPr>
                <w:ilvl w:val="0"/>
                <w:numId w:val="45"/>
              </w:numPr>
              <w:rPr>
                <w:rFonts w:cs="Arial"/>
                <w:b/>
                <w:color w:val="000000" w:themeColor="text1"/>
                <w:sz w:val="22"/>
                <w:szCs w:val="22"/>
              </w:rPr>
            </w:pPr>
            <w:r w:rsidRPr="007F6887">
              <w:rPr>
                <w:rFonts w:cs="Arial"/>
                <w:b/>
                <w:color w:val="000000" w:themeColor="text1"/>
                <w:sz w:val="22"/>
                <w:szCs w:val="22"/>
              </w:rPr>
              <w:t xml:space="preserve">IMPACTO ECONÓMICO </w:t>
            </w:r>
          </w:p>
          <w:p w14:paraId="57108117" w14:textId="77777777" w:rsidR="00C6398B" w:rsidRPr="007F6887" w:rsidRDefault="00C6398B" w:rsidP="00C6398B">
            <w:pPr>
              <w:ind w:left="720"/>
              <w:rPr>
                <w:rFonts w:cs="Arial"/>
                <w:b/>
                <w:color w:val="000000" w:themeColor="text1"/>
                <w:sz w:val="22"/>
                <w:szCs w:val="22"/>
              </w:rPr>
            </w:pPr>
          </w:p>
          <w:p w14:paraId="620D7F5C"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El impacto económico del presente proyecto normativo se proyecta de manera estructural sobre tres dimensiones interdependientes: i) la promoción de la inclusión digital y comunicacional con enfoque étnico-racial, ii) el fortalecimiento de las economías culturales y creativas afrocolombianas, y iii) la optimización del uso de los recursos públicos mediante la articulación institucional y la armonización de programas existentes.</w:t>
            </w:r>
          </w:p>
          <w:p w14:paraId="3ADBD699"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p w14:paraId="1EC46DD2"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La Política Social de Comunicación y Tecnologías de la Información para la Justicia Racial de los pueblos Afrocolombianos, Negros, Raizales y Palenqueros – AFROTIC, se configura como un instrumento de orientación programática que organiza, prioriza y alinea la oferta institucional vigente, con el propósito de contribuir al cierre de brechas tecnológicas, comunicativas, de participación y representación que históricamente han afectado a estas comunidades, sin implicar la creación de nuevas obligaciones presupuestales autónomas.</w:t>
            </w:r>
          </w:p>
          <w:p w14:paraId="70B5DAA4"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p w14:paraId="0B91BF1E" w14:textId="4072332B" w:rsidR="00C6398B" w:rsidRPr="007F6887" w:rsidRDefault="00C6398B" w:rsidP="00C6398B">
            <w:pPr>
              <w:pStyle w:val="Listavistosa-nfasis11"/>
              <w:spacing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Desde la perspectiva fiscal, la implementación de la política se sustenta en la gestión eficiente, focalización y articulación de los recursos previstos en los instrumentos de planeación y en las fuentes de financiación del sector de Tecnologías de la Información y las Comunicaciones, de conformidad con el marco normativo vigente. En particular, se apoya en los recursos del Fondo Único de Tecnologías de la Información y las Comunicaciones (FUTIC), creado por el artículo 34 de la Ley 1341 de 2009, así como en las asignaciones definidas en el Plan Nacional de Desarrollo 2022–2026 y en los demás mecanismos presupuestales y de inversión pública aplicables.</w:t>
            </w:r>
          </w:p>
          <w:p w14:paraId="7821D72D" w14:textId="77777777" w:rsidR="00C6398B" w:rsidRPr="007F6887" w:rsidRDefault="00C6398B" w:rsidP="00C6398B">
            <w:pPr>
              <w:pStyle w:val="Listavistosa-nfasis11"/>
              <w:spacing w:line="240" w:lineRule="auto"/>
              <w:ind w:left="426"/>
              <w:jc w:val="both"/>
              <w:rPr>
                <w:rFonts w:ascii="Arial" w:hAnsi="Arial" w:cs="Arial"/>
                <w:color w:val="000000" w:themeColor="text1"/>
                <w:sz w:val="20"/>
                <w:szCs w:val="20"/>
              </w:rPr>
            </w:pPr>
          </w:p>
          <w:p w14:paraId="2C106E61"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En este sentido, la política no implica la creación de nuevos fondos ni la generación de gasto adicional, sino que orienta estratégicamente la inversión pública existente hacia objetivos de inclusión, equidad y justicia racial en el ámbito digital y de las comunicaciones.</w:t>
            </w:r>
          </w:p>
          <w:p w14:paraId="0D674A65"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p w14:paraId="4E9DBF49"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En términos de impacto económico y social, la política promueve condiciones habilitantes para el fortalecimiento de capacidades locales, el impulso de iniciativas productivas en el sector TIC y de comunicación, y la ampliación de oportunidades de acceso y participación en la economía digital, contribuyendo así al desarrollo territorial y al mejoramiento de indicadores de bienestar, productividad e innovación, en coherencia con los lineamientos de política pública existentes.</w:t>
            </w:r>
          </w:p>
          <w:p w14:paraId="14C02F03"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p w14:paraId="2BD83140"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Así mismo, la articulación de esta política con el Sistema Nacional de Planeación favorece la eficiencia en la asignación y ejecución de recursos, evitando duplicidades y promoviendo sinergias entre entidades y programas, lo cual redunda en una mayor calidad del gasto público y en una intervención más focalizada y efectiva en las poblaciones priorizadas.</w:t>
            </w:r>
          </w:p>
          <w:p w14:paraId="1FE62FB4"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p w14:paraId="5CC0E2DB"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Finalmente, dada la naturaleza programática del decreto, la estimación detallada de impactos económicos específicos podrá ser objeto de desarrollos técnicos posteriores, en el marco de los instrumentos ordinarios de planeación, seguimiento y evaluación, conforme a las directrices del Departamento Nacional de Planeación y la normativa presupuestal vigente.</w:t>
            </w:r>
          </w:p>
          <w:p w14:paraId="6ECBDCEC"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p w14:paraId="71744F8B"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En síntesis, el impacto económico de la Política AFROTIC es consistente con el marco fiscal y de inversión pública vigente, en tanto se orienta a la optimización y uso eficiente de los recursos existentes, contribuyendo a la generación de valor público, al fortalecimiento de la equidad y a la consolidación de condiciones para el desarrollo sostenible e inclusivo de los pueblos afrocolombianos, negros, raizales y palenqueros.</w:t>
            </w:r>
          </w:p>
          <w:p w14:paraId="733FBAC9" w14:textId="6C937ECC"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tc>
      </w:tr>
      <w:tr w:rsidR="00C6398B" w:rsidRPr="009F7CED" w14:paraId="5561A09B"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F1FA0" w14:textId="77777777" w:rsidR="00C6398B" w:rsidRPr="007F6887" w:rsidRDefault="00C6398B" w:rsidP="00C6398B">
            <w:pPr>
              <w:rPr>
                <w:rFonts w:cs="Arial"/>
                <w:b/>
                <w:color w:val="000000" w:themeColor="text1"/>
                <w:sz w:val="22"/>
                <w:szCs w:val="22"/>
              </w:rPr>
            </w:pPr>
          </w:p>
          <w:p w14:paraId="57A29785" w14:textId="41E53B8E" w:rsidR="00C6398B" w:rsidRPr="007F6887" w:rsidRDefault="00C6398B" w:rsidP="00C6398B">
            <w:pPr>
              <w:numPr>
                <w:ilvl w:val="0"/>
                <w:numId w:val="45"/>
              </w:numPr>
              <w:rPr>
                <w:color w:val="000000" w:themeColor="text1"/>
                <w:sz w:val="22"/>
                <w:szCs w:val="22"/>
                <w:lang w:eastAsia="es-CO"/>
              </w:rPr>
            </w:pPr>
            <w:r w:rsidRPr="007F6887">
              <w:rPr>
                <w:rFonts w:cs="Arial"/>
                <w:b/>
                <w:color w:val="000000" w:themeColor="text1"/>
                <w:sz w:val="22"/>
                <w:szCs w:val="22"/>
              </w:rPr>
              <w:t xml:space="preserve">VIABILIDAD O DISPONIBILIDAD PRESUPUESTAL </w:t>
            </w:r>
          </w:p>
          <w:p w14:paraId="122A9706" w14:textId="06F06BE5" w:rsidR="00C6398B" w:rsidRPr="007F6887" w:rsidRDefault="00C6398B" w:rsidP="00C6398B">
            <w:pPr>
              <w:rPr>
                <w:rFonts w:cs="Arial"/>
                <w:color w:val="000000" w:themeColor="text1"/>
                <w:sz w:val="22"/>
                <w:szCs w:val="22"/>
              </w:rPr>
            </w:pPr>
          </w:p>
          <w:p w14:paraId="07F1E842"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La viabilidad presupuestal de la Política Social de Comunicación y Tecnologías de la Información para la Justicia Racial Afrocolombiana, Negra, Raizal y Palenquera (AFROTIC) se fundamenta en un esquema de articulación y aprovechamiento de los instrumentos de financiación y planeación ya existentes, en el marco del Presupuesto General de la Nación y de los mecanismos sectoriales vigentes. En este sentido, la política se enmarca en la gestión, orientación y priorización de recursos previstos en el sector TIC, así como en las líneas de inversión contempladas en el Plan Nacional de Desarrollo 2022–2026 “Colombia Potencia Mundial de la Vida” y en los instrumentos de planeación subsiguientes, conforme a los acuerdos y espacios institucionales de concertación.</w:t>
            </w:r>
          </w:p>
          <w:p w14:paraId="6667D4BC"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p w14:paraId="3859294F" w14:textId="77777777" w:rsidR="00C6398B" w:rsidRPr="007F6887" w:rsidRDefault="00C6398B" w:rsidP="00C6398B">
            <w:pPr>
              <w:pStyle w:val="Listavistosa-nfasis11"/>
              <w:ind w:left="426"/>
              <w:jc w:val="both"/>
              <w:rPr>
                <w:rFonts w:ascii="Arial" w:hAnsi="Arial" w:cs="Arial"/>
                <w:color w:val="000000" w:themeColor="text1"/>
                <w:sz w:val="20"/>
                <w:szCs w:val="20"/>
              </w:rPr>
            </w:pPr>
            <w:r w:rsidRPr="007F6887">
              <w:rPr>
                <w:rFonts w:ascii="Arial" w:hAnsi="Arial" w:cs="Arial"/>
                <w:color w:val="000000" w:themeColor="text1"/>
                <w:sz w:val="20"/>
                <w:szCs w:val="20"/>
              </w:rPr>
              <w:t>La implementación de la presente política no implica la generación de nuevas obligaciones presupuestales ni afecta el equilibrio fiscal, en la medida en que sus acciones se enmarcan en procesos de focalización, optimización y coordinación del gasto dentro de los marcos financieros ya aprobados.</w:t>
            </w:r>
          </w:p>
          <w:p w14:paraId="4F927C96" w14:textId="77777777" w:rsidR="00C6398B" w:rsidRPr="007F6887" w:rsidRDefault="00C6398B" w:rsidP="00C6398B">
            <w:pPr>
              <w:pStyle w:val="Listavistosa-nfasis11"/>
              <w:ind w:left="426"/>
              <w:jc w:val="both"/>
              <w:rPr>
                <w:rFonts w:ascii="Arial" w:hAnsi="Arial" w:cs="Arial"/>
                <w:color w:val="000000" w:themeColor="text1"/>
                <w:sz w:val="20"/>
                <w:szCs w:val="20"/>
              </w:rPr>
            </w:pPr>
          </w:p>
          <w:p w14:paraId="41C26BDF"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En consecuencia, los ejes estratégicos de la política, acceso y conectividad, comunicación con enfoque de justicia racial, desarrollo de capacidades, innovación tecnológica y gobernanza para la equidad digital, se desarrollarán a partir de la articulación de programas e iniciativas existentes y de la concurrencia institucional, sin que ello suponga la creación de nuevas fuentes autónomas de financiación.</w:t>
            </w:r>
          </w:p>
          <w:p w14:paraId="5AB11AA2"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p w14:paraId="5757A3C6"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Así mismo, la política promueve esquemas de articulación interinstitucional y de cooperación que permiten complementar la gestión pública mediante mecanismos de concurrencia, sin comprometer recursos adicionales del presupuesto ordinario. En este contexto, el MinTIC ejercerá un rol de coordinación y orientación estratégica, orientado a garantizar la eficiencia en la asignación de recursos, la trazabilidad de las intervenciones y el seguimiento a los resultados, en concordancia con los principios de sostenibilidad fiscal y responsabilidad en el gasto público.</w:t>
            </w:r>
          </w:p>
          <w:p w14:paraId="5832C47C"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p w14:paraId="2EA8B5EB"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lastRenderedPageBreak/>
              <w:t>La implementación de la Política AFROTIC se desarrollará en el marco de la programación presupuestal ordinaria y multianual del sector, sujeta a las disponibilidades fiscales y a los instrumentos de planeación vigentes, particularmente al Marco de Gasto de Mediano Plazo, lo que asegura su coherencia con la disciplina fiscal y la sostenibilidad de las finanzas públicas.</w:t>
            </w:r>
          </w:p>
          <w:p w14:paraId="1957CF4A" w14:textId="77777777" w:rsidR="00C6398B" w:rsidRPr="007F6887" w:rsidRDefault="00C6398B" w:rsidP="00C6398B">
            <w:pPr>
              <w:ind w:left="360"/>
              <w:jc w:val="both"/>
              <w:rPr>
                <w:rFonts w:cs="Arial"/>
                <w:iCs/>
                <w:color w:val="000000" w:themeColor="text1"/>
              </w:rPr>
            </w:pPr>
          </w:p>
          <w:p w14:paraId="60428658" w14:textId="77777777"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r w:rsidRPr="007F6887">
              <w:rPr>
                <w:rFonts w:ascii="Arial" w:hAnsi="Arial" w:cs="Arial"/>
                <w:color w:val="000000" w:themeColor="text1"/>
                <w:sz w:val="20"/>
                <w:szCs w:val="20"/>
              </w:rPr>
              <w:t xml:space="preserve">En consecuencia, la viabilidad presupuestal de la Política AFROTIC se considera favorable, en tanto se sustenta en la optimización y adecuada orientación de los recursos existentes, contribuyendo al fortalecimiento de la eficiencia del gasto público, al cumplimiento de los objetivos sectoriales y a la consolidación de acciones que promuevan la equidad y el cierre de brechas en el acceso y uso de las tecnologías de la información y las comunicaciones. </w:t>
            </w:r>
          </w:p>
          <w:p w14:paraId="139BA6FB" w14:textId="599FBDD5" w:rsidR="00C6398B" w:rsidRPr="007F6887" w:rsidRDefault="00C6398B" w:rsidP="00C6398B">
            <w:pPr>
              <w:pStyle w:val="Listavistosa-nfasis11"/>
              <w:spacing w:after="0" w:line="240" w:lineRule="auto"/>
              <w:ind w:left="426"/>
              <w:jc w:val="both"/>
              <w:rPr>
                <w:rFonts w:ascii="Arial" w:hAnsi="Arial" w:cs="Arial"/>
                <w:color w:val="000000" w:themeColor="text1"/>
                <w:sz w:val="20"/>
                <w:szCs w:val="20"/>
              </w:rPr>
            </w:pPr>
          </w:p>
        </w:tc>
      </w:tr>
      <w:tr w:rsidR="00C6398B" w:rsidRPr="009F7CED" w14:paraId="3380BF08"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4C14822C" w14:textId="254C0AED" w:rsidR="00C6398B" w:rsidRPr="00C6398B" w:rsidRDefault="00C6398B" w:rsidP="00C6398B">
            <w:pPr>
              <w:numPr>
                <w:ilvl w:val="0"/>
                <w:numId w:val="45"/>
              </w:numPr>
              <w:jc w:val="both"/>
              <w:rPr>
                <w:rFonts w:cs="Arial"/>
                <w:b/>
                <w:color w:val="000000"/>
                <w:sz w:val="22"/>
                <w:szCs w:val="22"/>
              </w:rPr>
            </w:pPr>
            <w:r w:rsidRPr="009F7CED">
              <w:rPr>
                <w:rFonts w:cs="Arial"/>
                <w:b/>
                <w:color w:val="000000"/>
                <w:sz w:val="22"/>
                <w:szCs w:val="22"/>
              </w:rPr>
              <w:lastRenderedPageBreak/>
              <w:t xml:space="preserve"> IMPACTO MEDIOAMBIENTAL O SOBRE EL PATRIMONIO CULTURAL DE LA NACIÓN </w:t>
            </w:r>
          </w:p>
          <w:p w14:paraId="714BFC57" w14:textId="3F918DDC" w:rsidR="00C6398B" w:rsidRDefault="00C6398B" w:rsidP="00C6398B">
            <w:pPr>
              <w:jc w:val="both"/>
              <w:rPr>
                <w:rFonts w:cs="Arial"/>
                <w:color w:val="000000"/>
                <w:sz w:val="22"/>
                <w:szCs w:val="22"/>
              </w:rPr>
            </w:pPr>
          </w:p>
          <w:p w14:paraId="507F821C" w14:textId="77777777" w:rsidR="00C6398B" w:rsidRPr="002B3471" w:rsidRDefault="00C6398B" w:rsidP="00C6398B">
            <w:pPr>
              <w:pStyle w:val="Prrafodelista"/>
              <w:jc w:val="both"/>
              <w:rPr>
                <w:rFonts w:cs="Arial"/>
                <w:iCs/>
              </w:rPr>
            </w:pPr>
            <w:r w:rsidRPr="002B3471">
              <w:rPr>
                <w:rFonts w:cs="Arial"/>
                <w:iCs/>
              </w:rPr>
              <w:t>El presente proyecto normativo no genera impactos negativos sobre el medio ambiente ni implica riesgos de afectación al patrimonio cultural material o inmaterial de la Nación. Por el contrario, la Política de Comunicación y Tecnologías de la Información e Inteligencia Artificial para la Justicia Racial Afrocolombiana, Negra, Raizal y Palenquera (AFROTIC) incorpora un enfoque de sostenibilidad ambiental y salvaguarda cultural, en concordancia con los principios consagrados en los artículos 8, 70, 72 y 79 de la Constitución Política, que establecen la obligación del Estado de proteger la diversidad cultural y los recursos naturales.</w:t>
            </w:r>
          </w:p>
          <w:p w14:paraId="46AF439D" w14:textId="77777777" w:rsidR="00C6398B" w:rsidRPr="002B3471" w:rsidRDefault="00C6398B" w:rsidP="00C6398B">
            <w:pPr>
              <w:pStyle w:val="Prrafodelista"/>
              <w:jc w:val="both"/>
              <w:rPr>
                <w:rFonts w:cs="Arial"/>
                <w:iCs/>
              </w:rPr>
            </w:pPr>
          </w:p>
          <w:p w14:paraId="4CC1B6E6" w14:textId="77777777" w:rsidR="00C6398B" w:rsidRPr="00FB5DB6" w:rsidRDefault="00C6398B" w:rsidP="00C6398B">
            <w:pPr>
              <w:pStyle w:val="Prrafodelista"/>
              <w:jc w:val="both"/>
              <w:rPr>
                <w:rFonts w:cs="Arial"/>
                <w:iCs/>
              </w:rPr>
            </w:pPr>
            <w:r w:rsidRPr="00FB5DB6">
              <w:rPr>
                <w:rFonts w:cs="Arial"/>
                <w:iCs/>
              </w:rPr>
              <w:t>Desde la perspectiva ambiental, la política orienta la gestión institucional hacia el uso responsable, ético y sostenible de las Tecnologías de la Información y las Comunicaciones, promoviendo buenas prácticas asociadas a la eficiencia energética, la gestión adecuada de residuos electrónicos y la adopción de enfoques de economía circular digital, en coherencia con los lineamientos nacionales vigentes en la materia.</w:t>
            </w:r>
          </w:p>
          <w:p w14:paraId="3E927FBA" w14:textId="77777777" w:rsidR="00C6398B" w:rsidRPr="00FB5DB6" w:rsidRDefault="00C6398B" w:rsidP="00C6398B">
            <w:pPr>
              <w:pStyle w:val="Prrafodelista"/>
              <w:jc w:val="both"/>
              <w:rPr>
                <w:rFonts w:cs="Arial"/>
                <w:iCs/>
              </w:rPr>
            </w:pPr>
          </w:p>
          <w:p w14:paraId="153AEB2C" w14:textId="77777777" w:rsidR="00C6398B" w:rsidRPr="002B3471" w:rsidRDefault="00C6398B" w:rsidP="00C6398B">
            <w:pPr>
              <w:pStyle w:val="Prrafodelista"/>
              <w:jc w:val="both"/>
              <w:rPr>
                <w:rFonts w:cs="Arial"/>
                <w:iCs/>
              </w:rPr>
            </w:pPr>
            <w:r w:rsidRPr="00FB5DB6">
              <w:rPr>
                <w:rFonts w:cs="Arial"/>
                <w:iCs/>
              </w:rPr>
              <w:t>En este sentido, las acciones previstas se enmarcan en el fortalecimiento de capacidades institucionales y comunitarias y en la articulación de iniciativas existentes, sin contemplar intervenciones directas sobre los ecosistemas ni la ejecución de obras de infraestructura que puedan generar impactos ambientales. Por tanto, su incidencia se circunscribe al ámbito de la gestión y orientación institucional</w:t>
            </w:r>
            <w:r w:rsidRPr="002B3471">
              <w:rPr>
                <w:rFonts w:cs="Arial"/>
                <w:iCs/>
              </w:rPr>
              <w:t>.</w:t>
            </w:r>
          </w:p>
          <w:p w14:paraId="105CC058" w14:textId="77777777" w:rsidR="00C6398B" w:rsidRPr="002B3471" w:rsidRDefault="00C6398B" w:rsidP="00C6398B">
            <w:pPr>
              <w:pStyle w:val="Prrafodelista"/>
              <w:jc w:val="both"/>
              <w:rPr>
                <w:rFonts w:cs="Arial"/>
                <w:iCs/>
              </w:rPr>
            </w:pPr>
          </w:p>
          <w:p w14:paraId="514B9CC6" w14:textId="77777777" w:rsidR="00C6398B" w:rsidRPr="002B3471" w:rsidRDefault="00C6398B" w:rsidP="00C6398B">
            <w:pPr>
              <w:pStyle w:val="Prrafodelista"/>
              <w:jc w:val="both"/>
              <w:rPr>
                <w:rFonts w:cs="Arial"/>
                <w:iCs/>
              </w:rPr>
            </w:pPr>
            <w:r w:rsidRPr="002B3471">
              <w:rPr>
                <w:rFonts w:cs="Arial"/>
                <w:iCs/>
              </w:rPr>
              <w:t>En relación con el patrimonio cultural de la Nación, la Política AFROTIC se configura como un instrumento de reconocimiento, fortalecimiento y visibilización de las expresiones culturales afrocolombianas, negras, raizales y palenqueras, al incorporar la dimensión comunicativa y tecnológica como un medio para la preservación, transmisión y difusión de saberes, prácticas y manifestaciones culturales. En este marco, la política promueve condiciones para la autorrepresentación, la participación en los entornos digitales y el fortalecimiento de los sistemas propios de comunicación, respetando la autonomía cultural y los procesos colectivos de las comunidades.</w:t>
            </w:r>
          </w:p>
          <w:p w14:paraId="5CCA4998" w14:textId="77777777" w:rsidR="00C6398B" w:rsidRPr="002B3471" w:rsidRDefault="00C6398B" w:rsidP="00C6398B">
            <w:pPr>
              <w:pStyle w:val="Prrafodelista"/>
              <w:jc w:val="both"/>
              <w:rPr>
                <w:rFonts w:cs="Arial"/>
                <w:iCs/>
              </w:rPr>
            </w:pPr>
          </w:p>
          <w:p w14:paraId="57763B1D" w14:textId="77777777" w:rsidR="00C6398B" w:rsidRPr="002B3471" w:rsidRDefault="00C6398B" w:rsidP="00C6398B">
            <w:pPr>
              <w:pStyle w:val="Prrafodelista"/>
              <w:jc w:val="both"/>
              <w:rPr>
                <w:rFonts w:cs="Arial"/>
                <w:iCs/>
              </w:rPr>
            </w:pPr>
            <w:r w:rsidRPr="002B3471">
              <w:rPr>
                <w:rFonts w:cs="Arial"/>
                <w:iCs/>
              </w:rPr>
              <w:t>Así mismo, la implementación de la política se articulará con las entidades competentes del sector cultura y con las instancias territoriales, en observancia de las disposiciones legales y de los instrumentos internacionales aplicables, garantizando que las acciones se desarrollen con pleno respeto por el patrimonio cultural y los derechos colectivos asociados.</w:t>
            </w:r>
          </w:p>
          <w:p w14:paraId="6DC69AC7" w14:textId="77777777" w:rsidR="00C6398B" w:rsidRPr="002B3471" w:rsidRDefault="00C6398B" w:rsidP="00C6398B">
            <w:pPr>
              <w:pStyle w:val="Prrafodelista"/>
              <w:jc w:val="both"/>
              <w:rPr>
                <w:rFonts w:cs="Arial"/>
                <w:iCs/>
              </w:rPr>
            </w:pPr>
          </w:p>
          <w:p w14:paraId="292006CF" w14:textId="77777777" w:rsidR="00C6398B" w:rsidRDefault="00C6398B" w:rsidP="00C6398B">
            <w:pPr>
              <w:pStyle w:val="Prrafodelista"/>
              <w:jc w:val="both"/>
              <w:rPr>
                <w:rFonts w:cs="Arial"/>
                <w:iCs/>
              </w:rPr>
            </w:pPr>
            <w:r w:rsidRPr="002B3471">
              <w:rPr>
                <w:rFonts w:cs="Arial"/>
                <w:iCs/>
              </w:rPr>
              <w:t>En consecuencia, el proyecto normativo resulta ambiental y culturalmente viable, en la medida en que se limita a orientar y armonizar la acción institucional existente, sin generar nuevas cargas ni requerimientos adicionales, y contribuye a consolidar un enfoque de sostenibilidad y reconocimiento de la diversidad cultural en el ámbito de las tecnologías de la información y las comunicaciones.</w:t>
            </w:r>
          </w:p>
          <w:p w14:paraId="49D2B544" w14:textId="0111F63C" w:rsidR="00C6398B" w:rsidRPr="00C6398B" w:rsidRDefault="00C6398B" w:rsidP="00C6398B">
            <w:pPr>
              <w:pStyle w:val="Prrafodelista"/>
              <w:jc w:val="both"/>
              <w:rPr>
                <w:rFonts w:cs="Arial"/>
                <w:iCs/>
              </w:rPr>
            </w:pPr>
          </w:p>
        </w:tc>
      </w:tr>
      <w:tr w:rsidR="00C6398B" w:rsidRPr="009F7CED" w14:paraId="7FFFE844"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6D2D5AC3" w14:textId="77777777" w:rsidR="00C6398B" w:rsidRPr="009F7CED" w:rsidRDefault="00C6398B" w:rsidP="00C6398B">
            <w:pPr>
              <w:numPr>
                <w:ilvl w:val="0"/>
                <w:numId w:val="45"/>
              </w:numPr>
              <w:jc w:val="both"/>
              <w:rPr>
                <w:rFonts w:cs="Arial"/>
                <w:sz w:val="22"/>
                <w:szCs w:val="22"/>
              </w:rPr>
            </w:pPr>
            <w:r w:rsidRPr="00D05B67">
              <w:rPr>
                <w:rFonts w:cs="Arial"/>
                <w:b/>
                <w:sz w:val="22"/>
                <w:szCs w:val="22"/>
              </w:rPr>
              <w:t>ESTUDIOS TÉCNICOS QUE SUSTENTEN EL PROYECTO NORMATIVO</w:t>
            </w:r>
            <w:r>
              <w:rPr>
                <w:rFonts w:cs="Arial"/>
                <w:sz w:val="22"/>
                <w:szCs w:val="22"/>
              </w:rPr>
              <w:t xml:space="preserve"> (Si cuenta con ellos)</w:t>
            </w:r>
            <w:r w:rsidRPr="009F7CED">
              <w:rPr>
                <w:rFonts w:cs="Arial"/>
                <w:sz w:val="22"/>
                <w:szCs w:val="22"/>
              </w:rPr>
              <w:t xml:space="preserve"> </w:t>
            </w:r>
          </w:p>
        </w:tc>
      </w:tr>
      <w:tr w:rsidR="00C6398B" w:rsidRPr="009F7CED" w14:paraId="6A58A95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177E7B9B" w14:textId="2A46EFAC" w:rsidR="00C6398B" w:rsidRPr="003C2045" w:rsidRDefault="00C6398B" w:rsidP="003C2045">
            <w:pPr>
              <w:pStyle w:val="Prrafodelista"/>
              <w:numPr>
                <w:ilvl w:val="0"/>
                <w:numId w:val="47"/>
              </w:numPr>
              <w:rPr>
                <w:rFonts w:cs="Arial"/>
                <w:sz w:val="22"/>
                <w:szCs w:val="22"/>
              </w:rPr>
            </w:pPr>
            <w:r w:rsidRPr="003C2045">
              <w:rPr>
                <w:rFonts w:cs="Arial"/>
                <w:sz w:val="22"/>
                <w:szCs w:val="22"/>
              </w:rPr>
              <w:t>Diagnóstico AFROTIC Tecnologías de la Información y las Comunicaciones para la Justicia Racial de los Pueblos afrocolombianos, raizales, negros y palenqueros</w:t>
            </w:r>
          </w:p>
        </w:tc>
      </w:tr>
      <w:tr w:rsidR="003C2045" w:rsidRPr="009F7CED" w14:paraId="351FA329"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363C23E" w14:textId="1DB4971E" w:rsidR="003C2045" w:rsidRPr="003C2045" w:rsidRDefault="003C2045" w:rsidP="003C2045">
            <w:pPr>
              <w:pStyle w:val="Prrafodelista"/>
              <w:numPr>
                <w:ilvl w:val="0"/>
                <w:numId w:val="47"/>
              </w:numPr>
              <w:rPr>
                <w:rFonts w:cs="Arial"/>
                <w:sz w:val="22"/>
                <w:szCs w:val="22"/>
              </w:rPr>
            </w:pPr>
            <w:r w:rsidRPr="003C2045">
              <w:rPr>
                <w:rFonts w:cs="Arial"/>
                <w:sz w:val="22"/>
                <w:szCs w:val="22"/>
              </w:rPr>
              <w:t>Caracterización de las narrativas de Afrocolombias 2022</w:t>
            </w:r>
          </w:p>
        </w:tc>
      </w:tr>
      <w:tr w:rsidR="00C6398B" w:rsidRPr="009F7CED" w14:paraId="06548953"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666686F6" w14:textId="2447FE84" w:rsidR="00C6398B" w:rsidRPr="003C2045" w:rsidRDefault="003C2045" w:rsidP="003C2045">
            <w:pPr>
              <w:pStyle w:val="Prrafodelista"/>
              <w:numPr>
                <w:ilvl w:val="0"/>
                <w:numId w:val="47"/>
              </w:numPr>
              <w:jc w:val="both"/>
              <w:rPr>
                <w:rFonts w:cs="Arial"/>
                <w:sz w:val="22"/>
                <w:szCs w:val="22"/>
              </w:rPr>
            </w:pPr>
            <w:r w:rsidRPr="003C2045">
              <w:rPr>
                <w:rFonts w:cs="Arial"/>
                <w:sz w:val="22"/>
                <w:szCs w:val="22"/>
              </w:rPr>
              <w:t>Hacia una política de comunicación afro con enfoque diferencial y cultural</w:t>
            </w:r>
          </w:p>
        </w:tc>
      </w:tr>
      <w:tr w:rsidR="003C2045" w:rsidRPr="009F7CED" w14:paraId="48EE83C9"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7424F596" w14:textId="7C1BC49E" w:rsidR="003C2045" w:rsidRPr="003C2045" w:rsidRDefault="003C2045" w:rsidP="003C2045">
            <w:pPr>
              <w:pStyle w:val="Prrafodelista"/>
              <w:numPr>
                <w:ilvl w:val="0"/>
                <w:numId w:val="47"/>
              </w:numPr>
              <w:rPr>
                <w:rFonts w:cs="Arial"/>
                <w:sz w:val="22"/>
                <w:szCs w:val="22"/>
              </w:rPr>
            </w:pPr>
            <w:r w:rsidRPr="003C2045">
              <w:rPr>
                <w:rFonts w:cs="Arial"/>
                <w:sz w:val="22"/>
                <w:szCs w:val="22"/>
              </w:rPr>
              <w:lastRenderedPageBreak/>
              <w:t>Lineamientos de política pública de comunicación de y para las comunidades y poblaciones negras, afrodescendientes, raizales y palenqueras.</w:t>
            </w:r>
          </w:p>
        </w:tc>
      </w:tr>
      <w:tr w:rsidR="003C2045" w:rsidRPr="00D965B1" w14:paraId="05769870" w14:textId="77777777" w:rsidTr="00112EF1">
        <w:trPr>
          <w:trHeight w:val="416"/>
        </w:trPr>
        <w:tc>
          <w:tcPr>
            <w:tcW w:w="10774" w:type="dxa"/>
            <w:gridSpan w:val="3"/>
            <w:tcBorders>
              <w:top w:val="single" w:sz="4" w:space="0" w:color="auto"/>
              <w:bottom w:val="single" w:sz="4" w:space="0" w:color="auto"/>
            </w:tcBorders>
            <w:shd w:val="clear" w:color="auto" w:fill="D9D9D9"/>
            <w:vAlign w:val="center"/>
          </w:tcPr>
          <w:p w14:paraId="6D984406" w14:textId="77777777" w:rsidR="003C2045" w:rsidRPr="00AF569A" w:rsidRDefault="003C2045" w:rsidP="003C2045">
            <w:pPr>
              <w:jc w:val="center"/>
              <w:rPr>
                <w:rFonts w:cs="Arial"/>
                <w:sz w:val="22"/>
                <w:szCs w:val="22"/>
              </w:rPr>
            </w:pPr>
            <w:r w:rsidRPr="00AF569A">
              <w:rPr>
                <w:rFonts w:cs="Arial"/>
                <w:b/>
                <w:sz w:val="22"/>
                <w:szCs w:val="22"/>
              </w:rPr>
              <w:t>ANEXOS:</w:t>
            </w:r>
            <w:r w:rsidRPr="00AF569A">
              <w:rPr>
                <w:rFonts w:cs="Arial"/>
                <w:sz w:val="22"/>
                <w:szCs w:val="22"/>
              </w:rPr>
              <w:t xml:space="preserve"> </w:t>
            </w:r>
          </w:p>
        </w:tc>
      </w:tr>
      <w:tr w:rsidR="003C2045" w:rsidRPr="009F7CED" w14:paraId="527C3750"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1C2B6B6" w14:textId="77777777" w:rsidR="003C2045" w:rsidRDefault="003C2045" w:rsidP="003C2045">
            <w:pPr>
              <w:jc w:val="both"/>
              <w:rPr>
                <w:rFonts w:cs="Arial"/>
                <w:sz w:val="22"/>
                <w:szCs w:val="22"/>
              </w:rPr>
            </w:pPr>
            <w:r>
              <w:rPr>
                <w:rFonts w:cs="Arial"/>
                <w:sz w:val="22"/>
                <w:szCs w:val="22"/>
              </w:rPr>
              <w:t xml:space="preserve">Certificación de cumplimiento de requisitos de consulta, publicidad y de incorporación en la agenda regulatoria </w:t>
            </w:r>
          </w:p>
          <w:p w14:paraId="15E83C89" w14:textId="77777777" w:rsidR="003C2045" w:rsidRPr="00084B49" w:rsidRDefault="003C2045" w:rsidP="003C2045">
            <w:pPr>
              <w:jc w:val="both"/>
              <w:rPr>
                <w:rFonts w:cs="Arial"/>
                <w:i/>
                <w:color w:val="808080"/>
                <w:sz w:val="22"/>
                <w:szCs w:val="22"/>
              </w:rPr>
            </w:pPr>
            <w:r w:rsidRPr="00084B49">
              <w:rPr>
                <w:rFonts w:cs="Arial"/>
                <w:i/>
                <w:color w:val="808080"/>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09671423" w14:textId="1A12ECB5" w:rsidR="003C2045" w:rsidRPr="003C2045" w:rsidRDefault="003C2045" w:rsidP="003C2045">
            <w:pPr>
              <w:jc w:val="center"/>
              <w:rPr>
                <w:rFonts w:cs="Arial"/>
                <w:b/>
                <w:bCs/>
                <w:iCs/>
                <w:color w:val="808080"/>
                <w:sz w:val="22"/>
                <w:szCs w:val="22"/>
              </w:rPr>
            </w:pPr>
            <w:r w:rsidRPr="003C2045">
              <w:rPr>
                <w:rFonts w:cs="Arial"/>
                <w:b/>
                <w:bCs/>
                <w:iCs/>
                <w:sz w:val="22"/>
                <w:szCs w:val="22"/>
              </w:rPr>
              <w:t>X</w:t>
            </w:r>
          </w:p>
        </w:tc>
      </w:tr>
      <w:tr w:rsidR="003C2045" w:rsidRPr="009F7CED" w14:paraId="4B96F93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262E589" w14:textId="77777777" w:rsidR="003C2045" w:rsidRDefault="003C2045" w:rsidP="003C2045">
            <w:pPr>
              <w:jc w:val="both"/>
              <w:rPr>
                <w:rFonts w:cs="Arial"/>
                <w:sz w:val="22"/>
                <w:szCs w:val="22"/>
              </w:rPr>
            </w:pPr>
            <w:r>
              <w:rPr>
                <w:rFonts w:cs="Arial"/>
                <w:sz w:val="22"/>
                <w:szCs w:val="22"/>
              </w:rPr>
              <w:t>Concepto(s) de Ministerio de Comercio, Industria y Turismo</w:t>
            </w:r>
          </w:p>
          <w:p w14:paraId="270C7AB5" w14:textId="77777777" w:rsidR="003C2045" w:rsidRPr="00084B49" w:rsidRDefault="003C2045" w:rsidP="003C2045">
            <w:pPr>
              <w:jc w:val="both"/>
              <w:rPr>
                <w:rFonts w:cs="Arial"/>
                <w:i/>
                <w:color w:val="808080"/>
                <w:sz w:val="22"/>
                <w:szCs w:val="22"/>
              </w:rPr>
            </w:pPr>
            <w:r w:rsidRPr="00084B49">
              <w:rPr>
                <w:rFonts w:cs="Arial"/>
                <w:i/>
                <w:color w:val="808080"/>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24CC459A" w14:textId="77777777" w:rsidR="003C2045" w:rsidRDefault="003C2045" w:rsidP="003C2045">
            <w:pPr>
              <w:jc w:val="both"/>
              <w:rPr>
                <w:rFonts w:cs="Arial"/>
                <w:sz w:val="22"/>
                <w:szCs w:val="22"/>
              </w:rPr>
            </w:pPr>
            <w:r w:rsidRPr="005F30C3">
              <w:rPr>
                <w:rFonts w:cs="Arial"/>
                <w:i/>
                <w:color w:val="808080"/>
                <w:sz w:val="22"/>
                <w:szCs w:val="22"/>
              </w:rPr>
              <w:t>(Marque con una x)</w:t>
            </w:r>
          </w:p>
        </w:tc>
      </w:tr>
      <w:tr w:rsidR="003C2045" w:rsidRPr="009F7CED" w14:paraId="4241CE5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9E48042" w14:textId="77777777" w:rsidR="003C2045" w:rsidRDefault="003C2045" w:rsidP="003C2045">
            <w:pPr>
              <w:jc w:val="both"/>
              <w:rPr>
                <w:rFonts w:cs="Arial"/>
                <w:sz w:val="22"/>
                <w:szCs w:val="22"/>
              </w:rPr>
            </w:pPr>
            <w:r>
              <w:rPr>
                <w:rFonts w:cs="Arial"/>
                <w:sz w:val="22"/>
                <w:szCs w:val="22"/>
              </w:rPr>
              <w:t xml:space="preserve">Informe de observaciones y respuestas </w:t>
            </w:r>
          </w:p>
          <w:p w14:paraId="4E1961C8" w14:textId="77777777" w:rsidR="003C2045" w:rsidRPr="00084B49" w:rsidRDefault="003C2045" w:rsidP="003C2045">
            <w:pPr>
              <w:jc w:val="both"/>
              <w:rPr>
                <w:rFonts w:cs="Arial"/>
                <w:i/>
                <w:color w:val="808080"/>
                <w:sz w:val="22"/>
                <w:szCs w:val="22"/>
              </w:rPr>
            </w:pPr>
            <w:r w:rsidRPr="00084B49">
              <w:rPr>
                <w:rFonts w:cs="Arial"/>
                <w:i/>
                <w:color w:val="808080"/>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3EC90E99" w14:textId="09562C34" w:rsidR="003C2045" w:rsidRDefault="003C2045" w:rsidP="003C2045">
            <w:pPr>
              <w:jc w:val="center"/>
              <w:rPr>
                <w:rFonts w:cs="Arial"/>
                <w:sz w:val="22"/>
                <w:szCs w:val="22"/>
              </w:rPr>
            </w:pPr>
            <w:r w:rsidRPr="003C2045">
              <w:rPr>
                <w:rFonts w:cs="Arial"/>
                <w:b/>
                <w:bCs/>
                <w:iCs/>
                <w:sz w:val="22"/>
                <w:szCs w:val="22"/>
              </w:rPr>
              <w:t>X</w:t>
            </w:r>
          </w:p>
        </w:tc>
      </w:tr>
      <w:tr w:rsidR="003C2045" w:rsidRPr="009F7CED" w14:paraId="07676EB5"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19683E6" w14:textId="77777777" w:rsidR="003C2045" w:rsidRDefault="003C2045" w:rsidP="003C2045">
            <w:pPr>
              <w:jc w:val="both"/>
              <w:rPr>
                <w:rFonts w:cs="Arial"/>
                <w:sz w:val="22"/>
                <w:szCs w:val="22"/>
              </w:rPr>
            </w:pPr>
            <w:r>
              <w:rPr>
                <w:rFonts w:cs="Arial"/>
                <w:sz w:val="22"/>
                <w:szCs w:val="22"/>
              </w:rPr>
              <w:t>Concepto de Abogacía de la Competencia de la Superintendencia de Industria y Comercio</w:t>
            </w:r>
          </w:p>
          <w:p w14:paraId="364EFEA6" w14:textId="77777777" w:rsidR="003C2045" w:rsidRPr="00084B49" w:rsidRDefault="003C2045" w:rsidP="003C2045">
            <w:pPr>
              <w:jc w:val="both"/>
              <w:rPr>
                <w:rFonts w:cs="Arial"/>
                <w:i/>
                <w:color w:val="808080"/>
                <w:sz w:val="22"/>
                <w:szCs w:val="22"/>
              </w:rPr>
            </w:pPr>
            <w:r w:rsidRPr="00084B49">
              <w:rPr>
                <w:rFonts w:cs="Arial"/>
                <w:i/>
                <w:color w:val="808080"/>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0F8BF5F5" w14:textId="77777777" w:rsidR="003C2045" w:rsidRDefault="003C2045" w:rsidP="003C2045">
            <w:pPr>
              <w:jc w:val="both"/>
              <w:rPr>
                <w:rFonts w:cs="Arial"/>
                <w:sz w:val="22"/>
                <w:szCs w:val="22"/>
              </w:rPr>
            </w:pPr>
            <w:r w:rsidRPr="005F30C3">
              <w:rPr>
                <w:rFonts w:cs="Arial"/>
                <w:i/>
                <w:color w:val="808080"/>
                <w:sz w:val="22"/>
                <w:szCs w:val="22"/>
              </w:rPr>
              <w:t>(Marque con una x)</w:t>
            </w:r>
          </w:p>
        </w:tc>
      </w:tr>
      <w:tr w:rsidR="003C2045" w:rsidRPr="009F7CED" w14:paraId="19E5B7F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60EB9CC" w14:textId="77777777" w:rsidR="003C2045" w:rsidRDefault="003C2045" w:rsidP="003C2045">
            <w:pPr>
              <w:jc w:val="both"/>
              <w:rPr>
                <w:rFonts w:cs="Arial"/>
                <w:sz w:val="22"/>
                <w:szCs w:val="22"/>
              </w:rPr>
            </w:pPr>
            <w:r>
              <w:rPr>
                <w:rFonts w:cs="Arial"/>
                <w:sz w:val="22"/>
                <w:szCs w:val="22"/>
              </w:rPr>
              <w:t>Concepto de aprobación nuevos trámites del Departamento Administrativo de la Función Pública</w:t>
            </w:r>
          </w:p>
          <w:p w14:paraId="1DFA88C0" w14:textId="77777777" w:rsidR="003C2045" w:rsidRDefault="003C2045" w:rsidP="003C2045">
            <w:pPr>
              <w:jc w:val="both"/>
              <w:rPr>
                <w:rFonts w:cs="Arial"/>
                <w:sz w:val="22"/>
                <w:szCs w:val="22"/>
              </w:rPr>
            </w:pPr>
            <w:r w:rsidRPr="00084B49">
              <w:rPr>
                <w:rFonts w:cs="Arial"/>
                <w:i/>
                <w:color w:val="808080"/>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2F5CE5B9" w14:textId="77777777" w:rsidR="003C2045" w:rsidRDefault="003C2045" w:rsidP="003C2045">
            <w:pPr>
              <w:jc w:val="both"/>
              <w:rPr>
                <w:rFonts w:cs="Arial"/>
                <w:sz w:val="22"/>
                <w:szCs w:val="22"/>
              </w:rPr>
            </w:pPr>
            <w:r w:rsidRPr="005F30C3">
              <w:rPr>
                <w:rFonts w:cs="Arial"/>
                <w:i/>
                <w:color w:val="808080"/>
                <w:sz w:val="22"/>
                <w:szCs w:val="22"/>
              </w:rPr>
              <w:t>(Marque con una x)</w:t>
            </w:r>
          </w:p>
        </w:tc>
      </w:tr>
      <w:tr w:rsidR="003C2045" w:rsidRPr="009F7CED" w14:paraId="3322BE2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D006DB" w14:textId="77777777" w:rsidR="003C2045" w:rsidRDefault="003C2045" w:rsidP="003C2045">
            <w:pPr>
              <w:jc w:val="both"/>
              <w:rPr>
                <w:rFonts w:cs="Arial"/>
                <w:sz w:val="22"/>
                <w:szCs w:val="22"/>
              </w:rPr>
            </w:pPr>
            <w:r>
              <w:rPr>
                <w:rFonts w:cs="Arial"/>
                <w:sz w:val="22"/>
                <w:szCs w:val="22"/>
              </w:rPr>
              <w:t xml:space="preserve">Otro </w:t>
            </w:r>
          </w:p>
          <w:p w14:paraId="042C0167" w14:textId="6383E448" w:rsidR="003C2045" w:rsidRPr="00BE6BA3" w:rsidRDefault="00BE6BA3" w:rsidP="00BE6BA3">
            <w:pPr>
              <w:pStyle w:val="Prrafodelista"/>
              <w:numPr>
                <w:ilvl w:val="0"/>
                <w:numId w:val="48"/>
              </w:numPr>
              <w:jc w:val="both"/>
              <w:rPr>
                <w:rFonts w:cs="Arial"/>
                <w:iCs/>
                <w:szCs w:val="22"/>
              </w:rPr>
            </w:pPr>
            <w:r w:rsidRPr="00BE6BA3">
              <w:rPr>
                <w:rFonts w:cs="Arial"/>
                <w:iCs/>
                <w:szCs w:val="22"/>
              </w:rPr>
              <w:t>Memorias y relatorías de Encuentros 2022 a 2024</w:t>
            </w:r>
          </w:p>
          <w:p w14:paraId="55D981E3" w14:textId="1671FD02" w:rsidR="00BE6BA3" w:rsidRPr="00BE6BA3" w:rsidRDefault="00BE6BA3" w:rsidP="00BE6BA3">
            <w:pPr>
              <w:pStyle w:val="Prrafodelista"/>
              <w:numPr>
                <w:ilvl w:val="0"/>
                <w:numId w:val="48"/>
              </w:numPr>
              <w:jc w:val="both"/>
              <w:rPr>
                <w:rFonts w:cs="Arial"/>
                <w:iCs/>
                <w:szCs w:val="22"/>
              </w:rPr>
            </w:pPr>
            <w:r w:rsidRPr="00BE6BA3">
              <w:rPr>
                <w:rFonts w:cs="Arial"/>
                <w:iCs/>
                <w:szCs w:val="22"/>
              </w:rPr>
              <w:t>Concepto de Ministerio del Interior</w:t>
            </w:r>
          </w:p>
          <w:p w14:paraId="73A3BDE5" w14:textId="27124D4B" w:rsidR="00BE6BA3" w:rsidRDefault="00BE6BA3" w:rsidP="003C2045">
            <w:pPr>
              <w:jc w:val="both"/>
              <w:rPr>
                <w:rFonts w:cs="Arial"/>
                <w:sz w:val="22"/>
                <w:szCs w:val="22"/>
              </w:rPr>
            </w:pPr>
          </w:p>
        </w:tc>
        <w:tc>
          <w:tcPr>
            <w:tcW w:w="3119" w:type="dxa"/>
            <w:tcBorders>
              <w:top w:val="single" w:sz="4" w:space="0" w:color="auto"/>
              <w:left w:val="single" w:sz="4" w:space="0" w:color="auto"/>
              <w:bottom w:val="single" w:sz="4" w:space="0" w:color="auto"/>
            </w:tcBorders>
            <w:shd w:val="clear" w:color="auto" w:fill="FFFFFF"/>
            <w:vAlign w:val="center"/>
          </w:tcPr>
          <w:p w14:paraId="6BB8FF30" w14:textId="6C837BD0" w:rsidR="003C2045" w:rsidRDefault="00BE6BA3" w:rsidP="00BE6BA3">
            <w:pPr>
              <w:jc w:val="center"/>
              <w:rPr>
                <w:rFonts w:cs="Arial"/>
                <w:sz w:val="22"/>
                <w:szCs w:val="22"/>
              </w:rPr>
            </w:pPr>
            <w:r w:rsidRPr="003C2045">
              <w:rPr>
                <w:rFonts w:cs="Arial"/>
                <w:b/>
                <w:bCs/>
                <w:iCs/>
                <w:sz w:val="22"/>
                <w:szCs w:val="22"/>
              </w:rPr>
              <w:t>X</w:t>
            </w:r>
          </w:p>
        </w:tc>
      </w:tr>
    </w:tbl>
    <w:p w14:paraId="56E6101F" w14:textId="77777777" w:rsidR="00301DC2" w:rsidRPr="009F7CED" w:rsidRDefault="00301DC2" w:rsidP="00587695">
      <w:pPr>
        <w:ind w:right="-377"/>
        <w:jc w:val="both"/>
        <w:rPr>
          <w:rFonts w:cs="Arial"/>
          <w:sz w:val="22"/>
          <w:szCs w:val="22"/>
        </w:rPr>
      </w:pPr>
    </w:p>
    <w:p w14:paraId="53055E4F" w14:textId="77777777" w:rsidR="00B66D03" w:rsidRPr="00D05B67" w:rsidRDefault="000B30A6" w:rsidP="00696582">
      <w:pPr>
        <w:ind w:left="-1276" w:right="-377" w:firstLine="283"/>
        <w:jc w:val="both"/>
        <w:rPr>
          <w:rFonts w:cs="Arial"/>
          <w:b/>
          <w:sz w:val="22"/>
          <w:szCs w:val="22"/>
        </w:rPr>
      </w:pPr>
      <w:r w:rsidRPr="00D05B67">
        <w:rPr>
          <w:rFonts w:cs="Arial"/>
          <w:b/>
          <w:sz w:val="22"/>
          <w:szCs w:val="22"/>
        </w:rPr>
        <w:t>Aprobó</w:t>
      </w:r>
      <w:r w:rsidR="00CB4D37" w:rsidRPr="00D05B67">
        <w:rPr>
          <w:rFonts w:cs="Arial"/>
          <w:b/>
          <w:sz w:val="22"/>
          <w:szCs w:val="22"/>
        </w:rPr>
        <w:t>:</w:t>
      </w:r>
    </w:p>
    <w:p w14:paraId="68017220" w14:textId="77777777" w:rsidR="004464F8" w:rsidRDefault="004464F8" w:rsidP="00BE6BA3">
      <w:pPr>
        <w:pStyle w:val="Listavistosa-nfasis11"/>
        <w:spacing w:after="0" w:line="240" w:lineRule="auto"/>
        <w:jc w:val="both"/>
        <w:rPr>
          <w:rFonts w:ascii="Arial" w:hAnsi="Arial" w:cs="Arial"/>
          <w:b/>
          <w:sz w:val="20"/>
          <w:szCs w:val="20"/>
        </w:rPr>
      </w:pPr>
    </w:p>
    <w:p w14:paraId="5ADB912A" w14:textId="77777777" w:rsidR="004464F8" w:rsidRDefault="004464F8" w:rsidP="00BE6BA3">
      <w:pPr>
        <w:pStyle w:val="Listavistosa-nfasis11"/>
        <w:spacing w:after="0" w:line="240" w:lineRule="auto"/>
        <w:jc w:val="both"/>
        <w:rPr>
          <w:rFonts w:ascii="Arial" w:hAnsi="Arial" w:cs="Arial"/>
          <w:b/>
          <w:sz w:val="20"/>
          <w:szCs w:val="20"/>
        </w:rPr>
      </w:pPr>
    </w:p>
    <w:p w14:paraId="68D230CB" w14:textId="77777777" w:rsidR="004464F8" w:rsidRDefault="004464F8" w:rsidP="00BE6BA3">
      <w:pPr>
        <w:pStyle w:val="Listavistosa-nfasis11"/>
        <w:spacing w:after="0" w:line="240" w:lineRule="auto"/>
        <w:jc w:val="both"/>
        <w:rPr>
          <w:rFonts w:ascii="Arial" w:hAnsi="Arial" w:cs="Arial"/>
          <w:b/>
          <w:sz w:val="20"/>
          <w:szCs w:val="20"/>
        </w:rPr>
      </w:pPr>
    </w:p>
    <w:p w14:paraId="34AFFDB4" w14:textId="5EA4AB85" w:rsidR="004464F8" w:rsidRDefault="004464F8" w:rsidP="00BE6BA3">
      <w:pPr>
        <w:pStyle w:val="Listavistosa-nfasis11"/>
        <w:spacing w:after="0" w:line="240" w:lineRule="auto"/>
        <w:jc w:val="both"/>
        <w:rPr>
          <w:rFonts w:ascii="Arial" w:hAnsi="Arial" w:cs="Arial"/>
          <w:b/>
          <w:sz w:val="20"/>
          <w:szCs w:val="20"/>
        </w:rPr>
      </w:pPr>
    </w:p>
    <w:p w14:paraId="2CAC176C" w14:textId="41D0322E" w:rsidR="004464F8" w:rsidRDefault="004464F8" w:rsidP="00BE6BA3">
      <w:pPr>
        <w:pStyle w:val="Listavistosa-nfasis11"/>
        <w:spacing w:after="0" w:line="240" w:lineRule="auto"/>
        <w:jc w:val="both"/>
        <w:rPr>
          <w:rFonts w:ascii="Arial" w:hAnsi="Arial" w:cs="Arial"/>
          <w:b/>
          <w:sz w:val="20"/>
          <w:szCs w:val="20"/>
        </w:rPr>
      </w:pPr>
      <w:r>
        <w:rPr>
          <w:rFonts w:ascii="Arial" w:hAnsi="Arial" w:cs="Arial"/>
          <w:b/>
          <w:sz w:val="20"/>
          <w:szCs w:val="20"/>
        </w:rPr>
        <w:t>_________________________________</w:t>
      </w:r>
    </w:p>
    <w:p w14:paraId="7C0C4412" w14:textId="62A6D115" w:rsidR="00BE6BA3" w:rsidRPr="00963858" w:rsidRDefault="00BE6BA3" w:rsidP="00BE6BA3">
      <w:pPr>
        <w:pStyle w:val="Listavistosa-nfasis11"/>
        <w:spacing w:after="0" w:line="240" w:lineRule="auto"/>
        <w:jc w:val="both"/>
        <w:rPr>
          <w:rFonts w:ascii="Arial" w:hAnsi="Arial" w:cs="Arial"/>
          <w:b/>
          <w:sz w:val="20"/>
          <w:szCs w:val="20"/>
        </w:rPr>
      </w:pPr>
      <w:r w:rsidRPr="00963858">
        <w:rPr>
          <w:rFonts w:ascii="Arial" w:hAnsi="Arial" w:cs="Arial"/>
          <w:b/>
          <w:sz w:val="20"/>
          <w:szCs w:val="20"/>
        </w:rPr>
        <w:t xml:space="preserve">ANDERSON RAÚL MARINO NINO </w:t>
      </w:r>
    </w:p>
    <w:p w14:paraId="7D9C52E2" w14:textId="77777777" w:rsidR="00BE6BA3" w:rsidRPr="00963858" w:rsidRDefault="00BE6BA3" w:rsidP="00BE6BA3">
      <w:pPr>
        <w:pStyle w:val="Listavistosa-nfasis11"/>
        <w:spacing w:after="0" w:line="240" w:lineRule="auto"/>
        <w:jc w:val="both"/>
        <w:rPr>
          <w:rFonts w:ascii="Arial" w:hAnsi="Arial" w:cs="Arial"/>
          <w:b/>
          <w:sz w:val="20"/>
          <w:szCs w:val="20"/>
        </w:rPr>
      </w:pPr>
      <w:r w:rsidRPr="00963858">
        <w:rPr>
          <w:rFonts w:ascii="Arial" w:hAnsi="Arial" w:cs="Arial"/>
          <w:b/>
          <w:sz w:val="20"/>
          <w:szCs w:val="20"/>
        </w:rPr>
        <w:t>Jefe de Oficina de Fomento Regional</w:t>
      </w:r>
      <w:r>
        <w:rPr>
          <w:rFonts w:ascii="Arial" w:hAnsi="Arial" w:cs="Arial"/>
          <w:b/>
          <w:sz w:val="20"/>
          <w:szCs w:val="20"/>
        </w:rPr>
        <w:t xml:space="preserve"> </w:t>
      </w:r>
      <w:r w:rsidRPr="00963858">
        <w:rPr>
          <w:rFonts w:ascii="Arial" w:hAnsi="Arial" w:cs="Arial"/>
          <w:b/>
          <w:sz w:val="20"/>
          <w:szCs w:val="20"/>
        </w:rPr>
        <w:t>de Tecnologías de la Información</w:t>
      </w:r>
    </w:p>
    <w:p w14:paraId="71249B1D" w14:textId="77777777" w:rsidR="00BE6BA3" w:rsidRDefault="00BE6BA3" w:rsidP="00BE6BA3">
      <w:pPr>
        <w:pStyle w:val="Listavistosa-nfasis11"/>
        <w:spacing w:after="0" w:line="240" w:lineRule="auto"/>
        <w:jc w:val="both"/>
        <w:rPr>
          <w:rFonts w:ascii="Arial" w:hAnsi="Arial" w:cs="Arial"/>
          <w:b/>
          <w:sz w:val="20"/>
          <w:szCs w:val="20"/>
        </w:rPr>
      </w:pPr>
    </w:p>
    <w:p w14:paraId="245FA0D9" w14:textId="77777777" w:rsidR="00BE6BA3" w:rsidRDefault="00BE6BA3" w:rsidP="00BE6BA3">
      <w:pPr>
        <w:pStyle w:val="Listavistosa-nfasis11"/>
        <w:spacing w:after="0" w:line="240" w:lineRule="auto"/>
        <w:jc w:val="both"/>
        <w:rPr>
          <w:rFonts w:ascii="Arial" w:hAnsi="Arial" w:cs="Arial"/>
          <w:b/>
          <w:sz w:val="20"/>
          <w:szCs w:val="20"/>
        </w:rPr>
      </w:pPr>
    </w:p>
    <w:p w14:paraId="03AA5B4F" w14:textId="77777777" w:rsidR="00BE6BA3" w:rsidRPr="00963858" w:rsidRDefault="00BE6BA3" w:rsidP="00BE6BA3">
      <w:pPr>
        <w:pStyle w:val="Listavistosa-nfasis11"/>
        <w:spacing w:after="0" w:line="240" w:lineRule="auto"/>
        <w:jc w:val="both"/>
        <w:rPr>
          <w:rFonts w:ascii="Arial" w:hAnsi="Arial" w:cs="Arial"/>
          <w:b/>
          <w:sz w:val="20"/>
          <w:szCs w:val="20"/>
        </w:rPr>
      </w:pPr>
    </w:p>
    <w:p w14:paraId="0BE0DD8F" w14:textId="01C0DE93" w:rsidR="004464F8" w:rsidRDefault="004464F8" w:rsidP="00BE6BA3">
      <w:pPr>
        <w:pStyle w:val="Listavistosa-nfasis11"/>
        <w:spacing w:after="0" w:line="240" w:lineRule="auto"/>
        <w:jc w:val="both"/>
        <w:rPr>
          <w:rFonts w:ascii="Arial" w:hAnsi="Arial" w:cs="Arial"/>
          <w:b/>
          <w:sz w:val="20"/>
          <w:szCs w:val="20"/>
        </w:rPr>
      </w:pPr>
    </w:p>
    <w:p w14:paraId="5F274D18" w14:textId="77777777" w:rsidR="004464F8" w:rsidRDefault="004464F8" w:rsidP="00BE6BA3">
      <w:pPr>
        <w:pStyle w:val="Listavistosa-nfasis11"/>
        <w:spacing w:after="0" w:line="240" w:lineRule="auto"/>
        <w:jc w:val="both"/>
        <w:rPr>
          <w:rFonts w:ascii="Arial" w:hAnsi="Arial" w:cs="Arial"/>
          <w:b/>
          <w:sz w:val="20"/>
          <w:szCs w:val="20"/>
        </w:rPr>
      </w:pPr>
    </w:p>
    <w:p w14:paraId="397D9B33" w14:textId="6B21D478" w:rsidR="00BE6BA3" w:rsidRPr="00963858" w:rsidRDefault="00BE6BA3" w:rsidP="00BE6BA3">
      <w:pPr>
        <w:pStyle w:val="Listavistosa-nfasis11"/>
        <w:spacing w:after="0" w:line="240" w:lineRule="auto"/>
        <w:jc w:val="both"/>
        <w:rPr>
          <w:rFonts w:ascii="Arial" w:hAnsi="Arial" w:cs="Arial"/>
          <w:b/>
          <w:sz w:val="20"/>
          <w:szCs w:val="20"/>
        </w:rPr>
      </w:pPr>
      <w:r w:rsidRPr="00963858">
        <w:rPr>
          <w:rFonts w:ascii="Arial" w:hAnsi="Arial" w:cs="Arial"/>
          <w:b/>
          <w:sz w:val="20"/>
          <w:szCs w:val="20"/>
        </w:rPr>
        <w:t>_________________________________</w:t>
      </w:r>
    </w:p>
    <w:p w14:paraId="22B7C188" w14:textId="77777777" w:rsidR="00BE6BA3" w:rsidRPr="00963858" w:rsidRDefault="00BE6BA3" w:rsidP="00BE6BA3">
      <w:pPr>
        <w:pStyle w:val="Listavistosa-nfasis11"/>
        <w:spacing w:after="0" w:line="240" w:lineRule="auto"/>
        <w:jc w:val="both"/>
        <w:rPr>
          <w:rFonts w:ascii="Arial" w:hAnsi="Arial" w:cs="Arial"/>
          <w:b/>
          <w:sz w:val="20"/>
          <w:szCs w:val="20"/>
        </w:rPr>
      </w:pPr>
      <w:r w:rsidRPr="00963858">
        <w:rPr>
          <w:rFonts w:ascii="Arial" w:hAnsi="Arial" w:cs="Arial"/>
          <w:b/>
          <w:sz w:val="20"/>
          <w:szCs w:val="20"/>
        </w:rPr>
        <w:t>RUBY RUTH RAMÍREZ MEDINA</w:t>
      </w:r>
    </w:p>
    <w:p w14:paraId="7E883540" w14:textId="77777777" w:rsidR="00BE6BA3" w:rsidRPr="00963858" w:rsidRDefault="00BE6BA3" w:rsidP="00BE6BA3">
      <w:pPr>
        <w:pStyle w:val="Listavistosa-nfasis11"/>
        <w:spacing w:after="0" w:line="240" w:lineRule="auto"/>
        <w:jc w:val="both"/>
        <w:rPr>
          <w:rFonts w:ascii="Arial" w:hAnsi="Arial" w:cs="Arial"/>
          <w:b/>
          <w:sz w:val="20"/>
          <w:szCs w:val="20"/>
        </w:rPr>
      </w:pPr>
      <w:r w:rsidRPr="00963858">
        <w:rPr>
          <w:rFonts w:ascii="Arial" w:hAnsi="Arial" w:cs="Arial"/>
          <w:b/>
          <w:sz w:val="20"/>
          <w:szCs w:val="20"/>
        </w:rPr>
        <w:t>Directora Jurídica del MinTIC</w:t>
      </w:r>
    </w:p>
    <w:p w14:paraId="4A6FD6F4" w14:textId="77777777" w:rsidR="00BE6BA3" w:rsidRDefault="00BE6BA3" w:rsidP="00BE6BA3">
      <w:pPr>
        <w:pStyle w:val="Listavistosa-nfasis11"/>
        <w:spacing w:after="0" w:line="240" w:lineRule="auto"/>
        <w:ind w:left="0"/>
        <w:jc w:val="both"/>
        <w:rPr>
          <w:rFonts w:ascii="Arial" w:hAnsi="Arial" w:cs="Arial"/>
          <w:b/>
          <w:sz w:val="20"/>
          <w:szCs w:val="20"/>
        </w:rPr>
      </w:pPr>
    </w:p>
    <w:p w14:paraId="3F962E79" w14:textId="5A374807" w:rsidR="00BE6BA3" w:rsidRDefault="00BE6BA3" w:rsidP="00BE6BA3">
      <w:pPr>
        <w:pStyle w:val="Listavistosa-nfasis11"/>
        <w:ind w:left="0"/>
        <w:jc w:val="both"/>
        <w:rPr>
          <w:color w:val="FF0000"/>
          <w:sz w:val="20"/>
          <w:szCs w:val="20"/>
        </w:rPr>
      </w:pPr>
    </w:p>
    <w:p w14:paraId="15D30F95" w14:textId="77777777" w:rsidR="004464F8" w:rsidRDefault="004464F8" w:rsidP="00BE6BA3">
      <w:pPr>
        <w:pStyle w:val="Listavistosa-nfasis11"/>
        <w:ind w:left="0"/>
        <w:jc w:val="both"/>
        <w:rPr>
          <w:color w:val="FF0000"/>
          <w:sz w:val="20"/>
          <w:szCs w:val="20"/>
        </w:rPr>
      </w:pPr>
    </w:p>
    <w:p w14:paraId="7F81BE01" w14:textId="77777777" w:rsidR="00BE6BA3" w:rsidRPr="00963858" w:rsidRDefault="00BE6BA3" w:rsidP="00BE6BA3">
      <w:pPr>
        <w:pStyle w:val="Listavistosa-nfasis11"/>
        <w:jc w:val="both"/>
        <w:rPr>
          <w:color w:val="FF0000"/>
          <w:sz w:val="20"/>
          <w:szCs w:val="20"/>
        </w:rPr>
      </w:pPr>
    </w:p>
    <w:p w14:paraId="2F633BB4" w14:textId="77777777" w:rsidR="00BE6BA3" w:rsidRPr="00963858" w:rsidRDefault="00BE6BA3" w:rsidP="00BE6BA3">
      <w:pPr>
        <w:pStyle w:val="Listavistosa-nfasis11"/>
        <w:ind w:left="0"/>
        <w:jc w:val="both"/>
        <w:rPr>
          <w:rFonts w:ascii="Arial" w:hAnsi="Arial" w:cs="Arial"/>
          <w:b/>
          <w:sz w:val="20"/>
          <w:szCs w:val="20"/>
          <w:lang w:val="es-ES"/>
        </w:rPr>
      </w:pPr>
    </w:p>
    <w:p w14:paraId="0CF62E4D" w14:textId="77777777" w:rsidR="00BE6BA3" w:rsidRPr="00963858" w:rsidRDefault="00BE6BA3" w:rsidP="00BE6BA3">
      <w:pPr>
        <w:pStyle w:val="Listavistosa-nfasis11"/>
        <w:jc w:val="both"/>
        <w:rPr>
          <w:rFonts w:ascii="Arial" w:hAnsi="Arial" w:cs="Arial"/>
          <w:b/>
          <w:sz w:val="20"/>
          <w:szCs w:val="20"/>
          <w:lang w:val="es-ES"/>
        </w:rPr>
      </w:pPr>
      <w:r w:rsidRPr="00963858">
        <w:rPr>
          <w:rFonts w:ascii="Arial" w:hAnsi="Arial" w:cs="Arial"/>
          <w:b/>
          <w:sz w:val="20"/>
          <w:szCs w:val="20"/>
          <w:lang w:val="es-ES"/>
        </w:rPr>
        <w:t>______________________________</w:t>
      </w:r>
    </w:p>
    <w:p w14:paraId="0BDCF903" w14:textId="1F217EE4" w:rsidR="00101381" w:rsidRDefault="00101381" w:rsidP="00BE6BA3">
      <w:pPr>
        <w:pStyle w:val="Listavistosa-nfasis11"/>
        <w:jc w:val="both"/>
        <w:rPr>
          <w:rFonts w:ascii="Arial" w:hAnsi="Arial" w:cs="Arial"/>
          <w:b/>
          <w:sz w:val="20"/>
          <w:szCs w:val="20"/>
          <w:lang w:val="es-ES"/>
        </w:rPr>
      </w:pPr>
      <w:r w:rsidRPr="00101381">
        <w:rPr>
          <w:rFonts w:ascii="Arial" w:hAnsi="Arial" w:cs="Arial"/>
          <w:b/>
          <w:sz w:val="20"/>
          <w:szCs w:val="20"/>
          <w:lang w:val="es-ES"/>
        </w:rPr>
        <w:t>DIANA DÍAZ SOTO</w:t>
      </w:r>
    </w:p>
    <w:p w14:paraId="5B5B0581" w14:textId="6C942F06" w:rsidR="00BE6BA3" w:rsidRPr="00963858" w:rsidRDefault="00BE6BA3" w:rsidP="00BE6BA3">
      <w:pPr>
        <w:pStyle w:val="Listavistosa-nfasis11"/>
        <w:jc w:val="both"/>
        <w:rPr>
          <w:rFonts w:ascii="Arial" w:hAnsi="Arial" w:cs="Arial"/>
          <w:b/>
          <w:sz w:val="20"/>
          <w:szCs w:val="20"/>
          <w:lang w:val="es-ES"/>
        </w:rPr>
      </w:pPr>
      <w:r w:rsidRPr="00963858">
        <w:rPr>
          <w:rFonts w:ascii="Arial" w:hAnsi="Arial" w:cs="Arial"/>
          <w:b/>
          <w:sz w:val="20"/>
          <w:szCs w:val="20"/>
          <w:lang w:val="es-ES"/>
        </w:rPr>
        <w:t>El (la) Director (a) de Audiovisuales, Cine y Medios Interactivos de Ministerio de las Culturas, las Artes y los Saberes.</w:t>
      </w:r>
    </w:p>
    <w:p w14:paraId="4DEF1548" w14:textId="77777777" w:rsidR="00BE6BA3" w:rsidRPr="00963858" w:rsidRDefault="00BE6BA3" w:rsidP="00BE6BA3">
      <w:pPr>
        <w:pStyle w:val="Listavistosa-nfasis11"/>
        <w:jc w:val="both"/>
        <w:rPr>
          <w:rFonts w:ascii="Arial" w:hAnsi="Arial" w:cs="Arial"/>
          <w:b/>
          <w:sz w:val="20"/>
          <w:szCs w:val="20"/>
          <w:lang w:val="es-ES"/>
        </w:rPr>
      </w:pPr>
    </w:p>
    <w:p w14:paraId="681048D1" w14:textId="77777777" w:rsidR="00BE6BA3" w:rsidRPr="00963858" w:rsidRDefault="00BE6BA3" w:rsidP="00BE6BA3">
      <w:pPr>
        <w:pStyle w:val="Listavistosa-nfasis11"/>
        <w:jc w:val="both"/>
        <w:rPr>
          <w:rFonts w:ascii="Arial" w:hAnsi="Arial" w:cs="Arial"/>
          <w:b/>
          <w:sz w:val="20"/>
          <w:szCs w:val="20"/>
          <w:lang w:val="es-ES"/>
        </w:rPr>
      </w:pPr>
    </w:p>
    <w:p w14:paraId="53ADD012" w14:textId="77777777" w:rsidR="004464F8" w:rsidRDefault="004464F8" w:rsidP="00BE6BA3">
      <w:pPr>
        <w:pStyle w:val="Listavistosa-nfasis11"/>
        <w:jc w:val="both"/>
        <w:rPr>
          <w:rFonts w:ascii="Arial" w:hAnsi="Arial" w:cs="Arial"/>
          <w:b/>
          <w:sz w:val="20"/>
          <w:szCs w:val="20"/>
          <w:lang w:val="es-ES"/>
        </w:rPr>
      </w:pPr>
    </w:p>
    <w:p w14:paraId="73B9F09B" w14:textId="77777777" w:rsidR="004464F8" w:rsidRDefault="004464F8" w:rsidP="00BE6BA3">
      <w:pPr>
        <w:pStyle w:val="Listavistosa-nfasis11"/>
        <w:jc w:val="both"/>
        <w:rPr>
          <w:rFonts w:ascii="Arial" w:hAnsi="Arial" w:cs="Arial"/>
          <w:b/>
          <w:sz w:val="20"/>
          <w:szCs w:val="20"/>
          <w:lang w:val="es-ES"/>
        </w:rPr>
      </w:pPr>
    </w:p>
    <w:p w14:paraId="53C655B6" w14:textId="4E1416C2" w:rsidR="00BE6BA3" w:rsidRPr="00963858" w:rsidRDefault="00BE6BA3" w:rsidP="00BE6BA3">
      <w:pPr>
        <w:pStyle w:val="Listavistosa-nfasis11"/>
        <w:jc w:val="both"/>
        <w:rPr>
          <w:rFonts w:ascii="Arial" w:hAnsi="Arial" w:cs="Arial"/>
          <w:b/>
          <w:sz w:val="20"/>
          <w:szCs w:val="20"/>
          <w:lang w:val="es-ES"/>
        </w:rPr>
      </w:pPr>
      <w:r w:rsidRPr="00963858">
        <w:rPr>
          <w:rFonts w:ascii="Arial" w:hAnsi="Arial" w:cs="Arial"/>
          <w:b/>
          <w:sz w:val="20"/>
          <w:szCs w:val="20"/>
          <w:lang w:val="es-ES"/>
        </w:rPr>
        <w:t>______________________________</w:t>
      </w:r>
    </w:p>
    <w:p w14:paraId="45B8983F" w14:textId="49D51253" w:rsidR="004464F8" w:rsidRDefault="004464F8" w:rsidP="00BE6BA3">
      <w:pPr>
        <w:pStyle w:val="Listavistosa-nfasis11"/>
        <w:jc w:val="both"/>
        <w:rPr>
          <w:rFonts w:ascii="Arial" w:hAnsi="Arial" w:cs="Arial"/>
          <w:b/>
          <w:sz w:val="20"/>
          <w:szCs w:val="20"/>
          <w:lang w:val="es-ES"/>
        </w:rPr>
      </w:pPr>
      <w:r w:rsidRPr="004464F8">
        <w:rPr>
          <w:rFonts w:ascii="Arial" w:hAnsi="Arial" w:cs="Arial"/>
          <w:b/>
          <w:sz w:val="20"/>
          <w:szCs w:val="20"/>
          <w:lang w:val="es-ES"/>
        </w:rPr>
        <w:t>JHORMAN JHAIR GUTIÉRREZ VALDERRAMA</w:t>
      </w:r>
    </w:p>
    <w:p w14:paraId="7AD31482" w14:textId="23E93C3C" w:rsidR="00BE6BA3" w:rsidRPr="00963858" w:rsidRDefault="00BE6BA3" w:rsidP="00BE6BA3">
      <w:pPr>
        <w:pStyle w:val="Listavistosa-nfasis11"/>
        <w:jc w:val="both"/>
        <w:rPr>
          <w:rFonts w:ascii="Arial" w:hAnsi="Arial" w:cs="Arial"/>
          <w:b/>
          <w:sz w:val="20"/>
          <w:szCs w:val="20"/>
          <w:lang w:val="es-ES"/>
        </w:rPr>
      </w:pPr>
      <w:r w:rsidRPr="00963858">
        <w:rPr>
          <w:rFonts w:ascii="Arial" w:hAnsi="Arial" w:cs="Arial"/>
          <w:b/>
          <w:sz w:val="20"/>
          <w:szCs w:val="20"/>
          <w:lang w:val="es-ES"/>
        </w:rPr>
        <w:t>El (la) Director (a) Oficina de Innovación Educativa con Uso de Nuevas Tecnologías del Ministerio de Educación Nacional.</w:t>
      </w:r>
    </w:p>
    <w:p w14:paraId="0EC6C6ED" w14:textId="77777777" w:rsidR="00BE6BA3" w:rsidRDefault="00BE6BA3" w:rsidP="00BE6BA3">
      <w:pPr>
        <w:pStyle w:val="Listavistosa-nfasis11"/>
        <w:ind w:left="0"/>
        <w:jc w:val="both"/>
        <w:rPr>
          <w:rFonts w:ascii="Arial" w:hAnsi="Arial" w:cs="Arial"/>
          <w:b/>
          <w:sz w:val="20"/>
          <w:szCs w:val="20"/>
          <w:lang w:val="es-ES"/>
        </w:rPr>
      </w:pPr>
    </w:p>
    <w:p w14:paraId="7ACA23C6" w14:textId="77777777" w:rsidR="00BE6BA3" w:rsidRDefault="00BE6BA3" w:rsidP="00BE6BA3">
      <w:pPr>
        <w:pStyle w:val="Listavistosa-nfasis11"/>
        <w:ind w:left="0"/>
        <w:jc w:val="both"/>
        <w:rPr>
          <w:rFonts w:ascii="Arial" w:hAnsi="Arial" w:cs="Arial"/>
          <w:b/>
          <w:sz w:val="20"/>
          <w:szCs w:val="20"/>
          <w:lang w:val="es-ES"/>
        </w:rPr>
      </w:pPr>
    </w:p>
    <w:p w14:paraId="37CB4D2E" w14:textId="77777777" w:rsidR="00BE6BA3" w:rsidRPr="00963858" w:rsidRDefault="00BE6BA3" w:rsidP="00BE6BA3">
      <w:pPr>
        <w:pStyle w:val="Listavistosa-nfasis11"/>
        <w:ind w:left="0"/>
        <w:jc w:val="both"/>
        <w:rPr>
          <w:rFonts w:ascii="Arial" w:hAnsi="Arial" w:cs="Arial"/>
          <w:b/>
          <w:sz w:val="20"/>
          <w:szCs w:val="20"/>
          <w:lang w:val="es-ES"/>
        </w:rPr>
      </w:pPr>
    </w:p>
    <w:p w14:paraId="0B551271" w14:textId="77777777" w:rsidR="004464F8" w:rsidRDefault="004464F8" w:rsidP="00BE6BA3">
      <w:pPr>
        <w:pStyle w:val="Listavistosa-nfasis11"/>
        <w:jc w:val="both"/>
        <w:rPr>
          <w:rFonts w:ascii="Arial" w:hAnsi="Arial" w:cs="Arial"/>
          <w:b/>
          <w:sz w:val="20"/>
          <w:szCs w:val="20"/>
          <w:lang w:val="es-ES"/>
        </w:rPr>
      </w:pPr>
    </w:p>
    <w:p w14:paraId="0D5CA712" w14:textId="3F506C3C" w:rsidR="00BE6BA3" w:rsidRPr="00963858" w:rsidRDefault="00BE6BA3" w:rsidP="00BE6BA3">
      <w:pPr>
        <w:pStyle w:val="Listavistosa-nfasis11"/>
        <w:jc w:val="both"/>
        <w:rPr>
          <w:rFonts w:ascii="Arial" w:hAnsi="Arial" w:cs="Arial"/>
          <w:b/>
          <w:sz w:val="20"/>
          <w:szCs w:val="20"/>
          <w:lang w:val="es-ES"/>
        </w:rPr>
      </w:pPr>
      <w:r w:rsidRPr="00963858">
        <w:rPr>
          <w:rFonts w:ascii="Arial" w:hAnsi="Arial" w:cs="Arial"/>
          <w:b/>
          <w:sz w:val="20"/>
          <w:szCs w:val="20"/>
          <w:lang w:val="es-ES"/>
        </w:rPr>
        <w:t>______________________________</w:t>
      </w:r>
    </w:p>
    <w:p w14:paraId="0AE86106" w14:textId="2114D60B" w:rsidR="004464F8" w:rsidRDefault="004464F8" w:rsidP="00BE6BA3">
      <w:pPr>
        <w:pStyle w:val="Listavistosa-nfasis11"/>
        <w:jc w:val="both"/>
        <w:rPr>
          <w:rFonts w:ascii="Arial" w:hAnsi="Arial" w:cs="Arial"/>
          <w:b/>
          <w:sz w:val="20"/>
          <w:szCs w:val="20"/>
          <w:lang w:val="es-ES"/>
        </w:rPr>
      </w:pPr>
      <w:r w:rsidRPr="004464F8">
        <w:rPr>
          <w:rFonts w:ascii="Arial" w:hAnsi="Arial" w:cs="Arial"/>
          <w:b/>
          <w:sz w:val="20"/>
          <w:szCs w:val="20"/>
          <w:lang w:val="es-ES"/>
        </w:rPr>
        <w:t>CLEISSER JOHANNA CUERO VILLEGAS</w:t>
      </w:r>
    </w:p>
    <w:p w14:paraId="36820A59" w14:textId="37DF41B4" w:rsidR="00BE6BA3" w:rsidRDefault="00BE6BA3" w:rsidP="00BE6BA3">
      <w:pPr>
        <w:pStyle w:val="Listavistosa-nfasis11"/>
        <w:jc w:val="both"/>
        <w:rPr>
          <w:rFonts w:ascii="Arial" w:hAnsi="Arial" w:cs="Arial"/>
          <w:b/>
          <w:sz w:val="20"/>
          <w:szCs w:val="20"/>
          <w:lang w:val="es-ES"/>
        </w:rPr>
      </w:pPr>
      <w:r w:rsidRPr="00963858">
        <w:rPr>
          <w:rFonts w:ascii="Arial" w:hAnsi="Arial" w:cs="Arial"/>
          <w:b/>
          <w:sz w:val="20"/>
          <w:szCs w:val="20"/>
          <w:lang w:val="es-ES"/>
        </w:rPr>
        <w:t>El (la) Director (a) para la igualdad y la equidad de Comunidades negras, Afrodescendientes, Raizales y Palenqueras del Ministerio de Igualdad y Equidad.</w:t>
      </w:r>
    </w:p>
    <w:p w14:paraId="35D3C3A3" w14:textId="77777777" w:rsidR="00BE6BA3" w:rsidRDefault="00BE6BA3" w:rsidP="00BE6BA3">
      <w:pPr>
        <w:pStyle w:val="Listavistosa-nfasis11"/>
        <w:ind w:left="0"/>
        <w:jc w:val="both"/>
        <w:rPr>
          <w:rFonts w:ascii="Arial" w:hAnsi="Arial" w:cs="Arial"/>
          <w:b/>
          <w:sz w:val="20"/>
          <w:szCs w:val="20"/>
          <w:lang w:val="es-ES"/>
        </w:rPr>
      </w:pPr>
    </w:p>
    <w:p w14:paraId="18050CC0" w14:textId="77777777" w:rsidR="00BE6BA3" w:rsidRDefault="00BE6BA3" w:rsidP="00BE6BA3">
      <w:pPr>
        <w:pStyle w:val="Listavistosa-nfasis11"/>
        <w:ind w:left="0"/>
        <w:jc w:val="both"/>
        <w:rPr>
          <w:rFonts w:ascii="Arial" w:hAnsi="Arial" w:cs="Arial"/>
          <w:b/>
          <w:sz w:val="20"/>
          <w:szCs w:val="20"/>
          <w:lang w:val="es-ES"/>
        </w:rPr>
      </w:pPr>
    </w:p>
    <w:p w14:paraId="14C6CEA3" w14:textId="77777777" w:rsidR="00BE6BA3" w:rsidRPr="00963858" w:rsidRDefault="00BE6BA3" w:rsidP="00BE6BA3">
      <w:pPr>
        <w:pStyle w:val="Listavistosa-nfasis11"/>
        <w:ind w:left="0"/>
        <w:jc w:val="both"/>
        <w:rPr>
          <w:rFonts w:ascii="Arial" w:hAnsi="Arial" w:cs="Arial"/>
          <w:b/>
          <w:sz w:val="20"/>
          <w:szCs w:val="20"/>
          <w:lang w:val="es-ES"/>
        </w:rPr>
      </w:pPr>
    </w:p>
    <w:p w14:paraId="7C56B09A" w14:textId="77777777" w:rsidR="004464F8" w:rsidRDefault="004464F8" w:rsidP="00BE6BA3">
      <w:pPr>
        <w:pStyle w:val="Listavistosa-nfasis11"/>
        <w:jc w:val="both"/>
        <w:rPr>
          <w:rFonts w:ascii="Arial" w:hAnsi="Arial" w:cs="Arial"/>
          <w:b/>
          <w:sz w:val="20"/>
          <w:szCs w:val="20"/>
          <w:lang w:val="es-ES"/>
        </w:rPr>
      </w:pPr>
    </w:p>
    <w:p w14:paraId="29F1EF20" w14:textId="59B127F4" w:rsidR="00BE6BA3" w:rsidRPr="00963858" w:rsidRDefault="00BE6BA3" w:rsidP="00BE6BA3">
      <w:pPr>
        <w:pStyle w:val="Listavistosa-nfasis11"/>
        <w:jc w:val="both"/>
        <w:rPr>
          <w:rFonts w:ascii="Arial" w:hAnsi="Arial" w:cs="Arial"/>
          <w:b/>
          <w:sz w:val="20"/>
          <w:szCs w:val="20"/>
          <w:lang w:val="es-ES"/>
        </w:rPr>
      </w:pPr>
      <w:r w:rsidRPr="00963858">
        <w:rPr>
          <w:rFonts w:ascii="Arial" w:hAnsi="Arial" w:cs="Arial"/>
          <w:b/>
          <w:sz w:val="20"/>
          <w:szCs w:val="20"/>
          <w:lang w:val="es-ES"/>
        </w:rPr>
        <w:t>______________________________</w:t>
      </w:r>
    </w:p>
    <w:p w14:paraId="14AB86D4" w14:textId="2FCA7BA9" w:rsidR="004464F8" w:rsidRDefault="004464F8" w:rsidP="00BE6BA3">
      <w:pPr>
        <w:pStyle w:val="Listavistosa-nfasis11"/>
        <w:jc w:val="both"/>
        <w:rPr>
          <w:rFonts w:ascii="Arial" w:hAnsi="Arial" w:cs="Arial"/>
          <w:b/>
          <w:sz w:val="20"/>
          <w:szCs w:val="20"/>
          <w:lang w:val="es-ES"/>
        </w:rPr>
      </w:pPr>
      <w:r w:rsidRPr="004464F8">
        <w:rPr>
          <w:rFonts w:ascii="Arial" w:hAnsi="Arial" w:cs="Arial"/>
          <w:b/>
          <w:sz w:val="20"/>
          <w:szCs w:val="20"/>
          <w:lang w:val="es-ES"/>
        </w:rPr>
        <w:t>LUISA FERNANDA ROBAYO ORTIZ</w:t>
      </w:r>
    </w:p>
    <w:p w14:paraId="416F6309" w14:textId="02A525E5" w:rsidR="00BE6BA3" w:rsidRPr="00963858" w:rsidRDefault="00BE6BA3" w:rsidP="00BE6BA3">
      <w:pPr>
        <w:pStyle w:val="Listavistosa-nfasis11"/>
        <w:jc w:val="both"/>
        <w:rPr>
          <w:rFonts w:ascii="Arial" w:hAnsi="Arial" w:cs="Arial"/>
          <w:b/>
          <w:sz w:val="20"/>
          <w:szCs w:val="20"/>
          <w:lang w:val="es-ES"/>
        </w:rPr>
      </w:pPr>
      <w:r w:rsidRPr="00963858">
        <w:rPr>
          <w:rFonts w:ascii="Arial" w:hAnsi="Arial" w:cs="Arial"/>
          <w:b/>
          <w:sz w:val="20"/>
          <w:szCs w:val="20"/>
          <w:lang w:val="es-ES"/>
        </w:rPr>
        <w:t xml:space="preserve">El (la) Viceministro (a) de Conocimiento, Innovación y Productividad del Ministerio de Ciencia, Tecnología e Innovación. </w:t>
      </w:r>
    </w:p>
    <w:p w14:paraId="693723E3" w14:textId="77777777" w:rsidR="00BE6BA3" w:rsidRDefault="00BE6BA3" w:rsidP="00BE6BA3">
      <w:pPr>
        <w:pStyle w:val="Listavistosa-nfasis11"/>
        <w:jc w:val="both"/>
        <w:rPr>
          <w:rFonts w:ascii="Arial" w:hAnsi="Arial" w:cs="Arial"/>
          <w:b/>
          <w:sz w:val="20"/>
          <w:szCs w:val="20"/>
          <w:lang w:val="es-ES"/>
        </w:rPr>
      </w:pPr>
    </w:p>
    <w:p w14:paraId="0368B095" w14:textId="77777777" w:rsidR="00BE6BA3" w:rsidRDefault="00BE6BA3" w:rsidP="00BE6BA3">
      <w:pPr>
        <w:pStyle w:val="Listavistosa-nfasis11"/>
        <w:jc w:val="both"/>
        <w:rPr>
          <w:rFonts w:ascii="Arial" w:hAnsi="Arial" w:cs="Arial"/>
          <w:b/>
          <w:sz w:val="20"/>
          <w:szCs w:val="20"/>
          <w:lang w:val="es-ES"/>
        </w:rPr>
      </w:pPr>
    </w:p>
    <w:p w14:paraId="624AF3EE" w14:textId="77777777" w:rsidR="00BE6BA3" w:rsidRPr="00963858" w:rsidRDefault="00BE6BA3" w:rsidP="00BE6BA3">
      <w:pPr>
        <w:pStyle w:val="Listavistosa-nfasis11"/>
        <w:jc w:val="both"/>
        <w:rPr>
          <w:rFonts w:ascii="Arial" w:hAnsi="Arial" w:cs="Arial"/>
          <w:b/>
          <w:sz w:val="20"/>
          <w:szCs w:val="20"/>
          <w:lang w:val="es-ES"/>
        </w:rPr>
      </w:pPr>
    </w:p>
    <w:p w14:paraId="707CED51" w14:textId="77777777" w:rsidR="00BE6BA3" w:rsidRPr="00963858" w:rsidRDefault="00BE6BA3" w:rsidP="00BE6BA3">
      <w:pPr>
        <w:pStyle w:val="Listavistosa-nfasis11"/>
        <w:jc w:val="both"/>
        <w:rPr>
          <w:rFonts w:ascii="Arial" w:hAnsi="Arial" w:cs="Arial"/>
          <w:b/>
          <w:sz w:val="20"/>
          <w:szCs w:val="20"/>
          <w:lang w:val="es-ES"/>
        </w:rPr>
      </w:pPr>
      <w:r w:rsidRPr="00963858">
        <w:rPr>
          <w:rFonts w:ascii="Arial" w:hAnsi="Arial" w:cs="Arial"/>
          <w:b/>
          <w:sz w:val="20"/>
          <w:szCs w:val="20"/>
          <w:lang w:val="es-ES"/>
        </w:rPr>
        <w:t>______________________________</w:t>
      </w:r>
    </w:p>
    <w:p w14:paraId="7DA54F63" w14:textId="65B379CA" w:rsidR="004464F8" w:rsidRDefault="004464F8" w:rsidP="00BE6BA3">
      <w:pPr>
        <w:pStyle w:val="Listavistosa-nfasis11"/>
        <w:jc w:val="both"/>
        <w:rPr>
          <w:rFonts w:ascii="Arial" w:hAnsi="Arial" w:cs="Arial"/>
          <w:b/>
          <w:sz w:val="20"/>
          <w:szCs w:val="20"/>
          <w:lang w:val="es-ES"/>
        </w:rPr>
      </w:pPr>
      <w:r w:rsidRPr="004464F8">
        <w:rPr>
          <w:rFonts w:ascii="Arial" w:hAnsi="Arial" w:cs="Arial"/>
          <w:b/>
          <w:sz w:val="20"/>
          <w:szCs w:val="20"/>
          <w:lang w:val="es-ES"/>
        </w:rPr>
        <w:t>AMELIA ROCÍO COTES CORTÉS</w:t>
      </w:r>
    </w:p>
    <w:p w14:paraId="03A91FEF" w14:textId="5B12DC96" w:rsidR="00BE6BA3" w:rsidRPr="00963858" w:rsidRDefault="00BE6BA3" w:rsidP="00BE6BA3">
      <w:pPr>
        <w:pStyle w:val="Listavistosa-nfasis11"/>
        <w:jc w:val="both"/>
        <w:rPr>
          <w:rFonts w:ascii="Arial" w:hAnsi="Arial" w:cs="Arial"/>
          <w:b/>
          <w:sz w:val="20"/>
          <w:szCs w:val="20"/>
          <w:lang w:val="es-ES"/>
        </w:rPr>
      </w:pPr>
      <w:r w:rsidRPr="00963858">
        <w:rPr>
          <w:rFonts w:ascii="Arial" w:hAnsi="Arial" w:cs="Arial"/>
          <w:b/>
          <w:sz w:val="20"/>
          <w:szCs w:val="20"/>
          <w:lang w:val="es-ES"/>
        </w:rPr>
        <w:t>El (la) Director(a) de Asuntos para Comunidades Negras, Afrocolombianas, Raizales y Palenqueras del Ministerio del Interio</w:t>
      </w:r>
      <w:r>
        <w:rPr>
          <w:rFonts w:ascii="Arial" w:hAnsi="Arial" w:cs="Arial"/>
          <w:b/>
          <w:sz w:val="20"/>
          <w:szCs w:val="20"/>
          <w:lang w:val="es-ES"/>
        </w:rPr>
        <w:t>r.</w:t>
      </w:r>
    </w:p>
    <w:p w14:paraId="16D3ACBD" w14:textId="3853A5CC" w:rsidR="006779DA" w:rsidRPr="00366F75" w:rsidRDefault="006779DA" w:rsidP="00BE6BA3">
      <w:pPr>
        <w:pStyle w:val="Listavistosa-nfasis11"/>
        <w:jc w:val="both"/>
        <w:rPr>
          <w:rFonts w:ascii="Arial" w:hAnsi="Arial" w:cs="Arial"/>
          <w:b/>
          <w:color w:val="FF0000"/>
        </w:rPr>
      </w:pPr>
    </w:p>
    <w:sectPr w:rsidR="006779DA" w:rsidRPr="00366F75" w:rsidSect="00F77DB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6C62" w14:textId="77777777" w:rsidR="009B70D6" w:rsidRDefault="009B70D6">
      <w:r>
        <w:separator/>
      </w:r>
    </w:p>
  </w:endnote>
  <w:endnote w:type="continuationSeparator" w:id="0">
    <w:p w14:paraId="0E73D347" w14:textId="77777777" w:rsidR="009B70D6" w:rsidRDefault="009B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D971" w14:textId="77777777" w:rsidR="00416865" w:rsidRDefault="004168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A484" w14:textId="246E14A8" w:rsidR="00F77DB8" w:rsidRDefault="00F77DB8" w:rsidP="00F77DB8">
    <w:pPr>
      <w:pStyle w:val="Piedepgina"/>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F77DB8" w:rsidRDefault="00F77DB8" w:rsidP="00F77DB8">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43DD8EB" w:rsidR="00836C6A" w:rsidRDefault="00F77DB8" w:rsidP="00F77DB8">
    <w:pPr>
      <w:pStyle w:val="Piedepgina"/>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7216"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BE78E" id="_x0000_t202" coordsize="21600,21600" o:spt="202" path="m,l,21600r21600,l21600,xe">
              <v:stroke joinstyle="miter"/>
              <v:path gradientshapeok="t" o:connecttype="rect"/>
            </v:shapetype>
            <v:shape id="MSIPCM6e1c4ae9bb68bcc40527ef41" o:spid="_x0000_s1026" type="#_x0000_t202" alt="{&quot;HashCode&quot;:-324040364,&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14:paraId="089230A1" w14:textId="4395C5FA" w:rsidR="00F07A7D" w:rsidRPr="0084294E" w:rsidRDefault="00F07A7D" w:rsidP="008C703D">
    <w:pPr>
      <w:pStyle w:val="Piedepgina"/>
      <w:ind w:left="-851"/>
      <w:rPr>
        <w:sz w:val="18"/>
        <w:szCs w:val="18"/>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E956" w14:textId="13516AA7" w:rsidR="00AF569A" w:rsidRDefault="00F77DB8" w:rsidP="003650D5">
    <w:pPr>
      <w:pStyle w:val="Piedepgina"/>
      <w:ind w:left="-709"/>
      <w:rPr>
        <w:rFonts w:ascii="Calibri" w:hAnsi="Calibri" w:cs="Calibri"/>
        <w:color w:val="000000"/>
      </w:rPr>
    </w:pPr>
    <w:r>
      <w:rPr>
        <w:noProof/>
      </w:rPr>
      <w:tab/>
    </w:r>
    <w:r>
      <w:rPr>
        <w:noProof/>
      </w:rPr>
      <w:tab/>
    </w:r>
  </w:p>
  <w:p w14:paraId="7E9BB38D" w14:textId="6A6E08F1" w:rsidR="00F77DB8" w:rsidRDefault="00F77DB8" w:rsidP="00F77DB8">
    <w:pPr>
      <w:pStyle w:val="Piedepgina"/>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F77DB8" w:rsidRDefault="00F77DB8" w:rsidP="00F77DB8">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AC6F" w14:textId="77777777" w:rsidR="009B70D6" w:rsidRDefault="009B70D6">
      <w:r>
        <w:separator/>
      </w:r>
    </w:p>
  </w:footnote>
  <w:footnote w:type="continuationSeparator" w:id="0">
    <w:p w14:paraId="45D9817E" w14:textId="77777777" w:rsidR="009B70D6" w:rsidRDefault="009B70D6">
      <w:r>
        <w:continuationSeparator/>
      </w:r>
    </w:p>
  </w:footnote>
  <w:footnote w:id="1">
    <w:p w14:paraId="39CCD878" w14:textId="77777777" w:rsidR="00C6398B" w:rsidRDefault="00C6398B">
      <w:pPr>
        <w:pStyle w:val="Textonotapie"/>
        <w:rPr>
          <w:rStyle w:val="Refdenotaalpie"/>
        </w:rPr>
      </w:pPr>
    </w:p>
    <w:p w14:paraId="029939A8" w14:textId="77777777" w:rsidR="00C6398B" w:rsidRPr="00B07023" w:rsidRDefault="00C6398B">
      <w:pPr>
        <w:pStyle w:val="Textonotapie"/>
        <w:rPr>
          <w:lang w:val="es-CO"/>
        </w:rPr>
      </w:pPr>
      <w:hyperlink r:id="rId1" w:history="1">
        <w:proofErr w:type="spellStart"/>
        <w:r>
          <w:rPr>
            <w:rStyle w:val="Hipervnculo"/>
          </w:rPr>
          <w:t>Evidencias</w:t>
        </w:r>
        <w:proofErr w:type="spellEnd"/>
        <w:r>
          <w:rPr>
            <w:rStyle w:val="Hipervnculo"/>
          </w:rPr>
          <w:t xml:space="preserve"> Política </w:t>
        </w:r>
        <w:proofErr w:type="spellStart"/>
        <w:r>
          <w:rPr>
            <w:rStyle w:val="Hipervnculo"/>
          </w:rPr>
          <w:t>AfroTIC</w:t>
        </w:r>
        <w:proofErr w:type="spellEnd"/>
        <w:r>
          <w:rPr>
            <w:rStyle w:val="Hipervnculo"/>
          </w:rPr>
          <w:t xml:space="preserve"> -- OK - OneDrive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A40" w14:textId="77777777" w:rsidR="00416865" w:rsidRDefault="004168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3BF"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8C703D" w14:paraId="190BE4D9" w14:textId="77777777" w:rsidTr="008C703D">
      <w:tc>
        <w:tcPr>
          <w:tcW w:w="3574" w:type="dxa"/>
        </w:tcPr>
        <w:p w14:paraId="09BB7B8D" w14:textId="74D00299" w:rsidR="008C703D" w:rsidRPr="00366F75" w:rsidRDefault="00B237AC" w:rsidP="00366F75">
          <w:pPr>
            <w:rPr>
              <w:rFonts w:ascii="Times New Roman" w:hAnsi="Times New Roman"/>
              <w:sz w:val="24"/>
              <w:szCs w:val="24"/>
              <w:lang w:val="es-CO" w:eastAsia="es-CO"/>
            </w:rPr>
          </w:pPr>
          <w:r>
            <w:rPr>
              <w:noProof/>
            </w:rPr>
            <w:drawing>
              <wp:inline distT="0" distB="0" distL="0" distR="0" wp14:anchorId="075A7932" wp14:editId="6A19A4B1">
                <wp:extent cx="2095500" cy="571500"/>
                <wp:effectExtent l="0" t="0" r="0" b="0"/>
                <wp:docPr id="81" name="Imagen 81" descr="71B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B3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c>
      <w:tc>
        <w:tcPr>
          <w:tcW w:w="5775" w:type="dxa"/>
          <w:vAlign w:val="center"/>
        </w:tcPr>
        <w:p w14:paraId="787F766F" w14:textId="77777777" w:rsidR="008C703D" w:rsidRDefault="008C703D" w:rsidP="001447C1">
          <w:pPr>
            <w:pStyle w:val="Ttulo2"/>
            <w:ind w:left="72" w:right="72"/>
          </w:pPr>
          <w:r w:rsidRPr="00FD3D04">
            <w:rPr>
              <w:rFonts w:cs="Arial"/>
              <w:bCs/>
              <w:color w:val="000000"/>
              <w:sz w:val="24"/>
              <w:szCs w:val="24"/>
            </w:rPr>
            <w:t>FORMATO MEMORIA JUSTIFICATIVA</w:t>
          </w:r>
        </w:p>
      </w:tc>
      <w:tc>
        <w:tcPr>
          <w:tcW w:w="1449" w:type="dxa"/>
          <w:vAlign w:val="center"/>
        </w:tcPr>
        <w:p w14:paraId="4CEF7297" w14:textId="7E6064B0" w:rsidR="008C703D" w:rsidRDefault="00B237AC" w:rsidP="008C703D">
          <w:pPr>
            <w:pStyle w:val="Ttulo2"/>
            <w:ind w:right="72"/>
          </w:pPr>
          <w:r>
            <w:rPr>
              <w:noProof/>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F07A7D" w:rsidRDefault="00F07A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8C703D" w14:paraId="20778B37" w14:textId="77777777" w:rsidTr="00D97F1C">
      <w:trPr>
        <w:trHeight w:val="1408"/>
      </w:trPr>
      <w:tc>
        <w:tcPr>
          <w:tcW w:w="3067" w:type="dxa"/>
        </w:tcPr>
        <w:p w14:paraId="69C28DE1" w14:textId="716EAEEE" w:rsidR="008C703D" w:rsidRPr="00366F75" w:rsidRDefault="002B5285" w:rsidP="00D97F1C">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39D739" wp14:editId="535DE86C">
                <wp:extent cx="478790" cy="857250"/>
                <wp:effectExtent l="0" t="0" r="0" b="0"/>
                <wp:docPr id="2004918440"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52" w:type="dxa"/>
          <w:vAlign w:val="center"/>
        </w:tcPr>
        <w:p w14:paraId="67C9E327" w14:textId="77777777" w:rsidR="008C703D" w:rsidRDefault="008C703D" w:rsidP="00FD3D04">
          <w:pPr>
            <w:pStyle w:val="Ttulo2"/>
            <w:ind w:left="72" w:right="72"/>
          </w:pPr>
          <w:r w:rsidRPr="00FD3D04">
            <w:rPr>
              <w:rFonts w:cs="Arial"/>
              <w:bCs/>
              <w:color w:val="000000"/>
              <w:sz w:val="24"/>
              <w:szCs w:val="24"/>
            </w:rPr>
            <w:t>FORMATO MEMORIA JUSTIFICATIVA</w:t>
          </w:r>
        </w:p>
      </w:tc>
      <w:tc>
        <w:tcPr>
          <w:tcW w:w="1979" w:type="dxa"/>
          <w:vAlign w:val="center"/>
        </w:tcPr>
        <w:p w14:paraId="471C3705" w14:textId="1AC9FB15" w:rsidR="008C703D" w:rsidRDefault="00B237AC" w:rsidP="008C703D">
          <w:pPr>
            <w:pStyle w:val="Ttulo2"/>
            <w:ind w:right="72"/>
          </w:pPr>
          <w:r>
            <w:rPr>
              <w:noProof/>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111F7"/>
    <w:multiLevelType w:val="hybridMultilevel"/>
    <w:tmpl w:val="C1207A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57616D"/>
    <w:multiLevelType w:val="hybridMultilevel"/>
    <w:tmpl w:val="AFBC6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12C44"/>
    <w:multiLevelType w:val="hybridMultilevel"/>
    <w:tmpl w:val="EE0856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8"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7"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8"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0"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4"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242091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3080995">
    <w:abstractNumId w:val="7"/>
  </w:num>
  <w:num w:numId="3" w16cid:durableId="191306297">
    <w:abstractNumId w:val="40"/>
  </w:num>
  <w:num w:numId="4" w16cid:durableId="2122990937">
    <w:abstractNumId w:val="8"/>
  </w:num>
  <w:num w:numId="5" w16cid:durableId="680857301">
    <w:abstractNumId w:val="17"/>
  </w:num>
  <w:num w:numId="6" w16cid:durableId="845244341">
    <w:abstractNumId w:val="34"/>
  </w:num>
  <w:num w:numId="7" w16cid:durableId="1262059418">
    <w:abstractNumId w:val="9"/>
  </w:num>
  <w:num w:numId="8" w16cid:durableId="556359139">
    <w:abstractNumId w:val="19"/>
  </w:num>
  <w:num w:numId="9" w16cid:durableId="834417487">
    <w:abstractNumId w:val="6"/>
  </w:num>
  <w:num w:numId="10" w16cid:durableId="163327108">
    <w:abstractNumId w:val="24"/>
  </w:num>
  <w:num w:numId="11" w16cid:durableId="1184637165">
    <w:abstractNumId w:val="14"/>
  </w:num>
  <w:num w:numId="12" w16cid:durableId="1418477017">
    <w:abstractNumId w:val="35"/>
  </w:num>
  <w:num w:numId="13" w16cid:durableId="1426921531">
    <w:abstractNumId w:val="41"/>
  </w:num>
  <w:num w:numId="14" w16cid:durableId="1036467338">
    <w:abstractNumId w:val="42"/>
  </w:num>
  <w:num w:numId="15" w16cid:durableId="662858756">
    <w:abstractNumId w:val="1"/>
  </w:num>
  <w:num w:numId="16" w16cid:durableId="929316254">
    <w:abstractNumId w:val="25"/>
  </w:num>
  <w:num w:numId="17" w16cid:durableId="529756962">
    <w:abstractNumId w:val="4"/>
  </w:num>
  <w:num w:numId="18" w16cid:durableId="1216623859">
    <w:abstractNumId w:val="27"/>
  </w:num>
  <w:num w:numId="19" w16cid:durableId="890772917">
    <w:abstractNumId w:val="30"/>
  </w:num>
  <w:num w:numId="20" w16cid:durableId="936904130">
    <w:abstractNumId w:val="0"/>
  </w:num>
  <w:num w:numId="21" w16cid:durableId="347414882">
    <w:abstractNumId w:val="11"/>
  </w:num>
  <w:num w:numId="22" w16cid:durableId="1330518339">
    <w:abstractNumId w:val="22"/>
  </w:num>
  <w:num w:numId="23" w16cid:durableId="8713049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5063138">
    <w:abstractNumId w:val="39"/>
  </w:num>
  <w:num w:numId="25" w16cid:durableId="198398320">
    <w:abstractNumId w:val="12"/>
  </w:num>
  <w:num w:numId="26" w16cid:durableId="882912360">
    <w:abstractNumId w:val="32"/>
  </w:num>
  <w:num w:numId="27" w16cid:durableId="1423992470">
    <w:abstractNumId w:val="29"/>
  </w:num>
  <w:num w:numId="28" w16cid:durableId="795148910">
    <w:abstractNumId w:val="43"/>
  </w:num>
  <w:num w:numId="29" w16cid:durableId="216666691">
    <w:abstractNumId w:val="1"/>
  </w:num>
  <w:num w:numId="30" w16cid:durableId="679504725">
    <w:abstractNumId w:val="45"/>
  </w:num>
  <w:num w:numId="31" w16cid:durableId="1053500383">
    <w:abstractNumId w:val="26"/>
  </w:num>
  <w:num w:numId="32" w16cid:durableId="1130170934">
    <w:abstractNumId w:val="38"/>
  </w:num>
  <w:num w:numId="33" w16cid:durableId="1316488626">
    <w:abstractNumId w:val="28"/>
  </w:num>
  <w:num w:numId="34" w16cid:durableId="2087800626">
    <w:abstractNumId w:val="37"/>
  </w:num>
  <w:num w:numId="35" w16cid:durableId="360862558">
    <w:abstractNumId w:val="15"/>
  </w:num>
  <w:num w:numId="36" w16cid:durableId="1051348686">
    <w:abstractNumId w:val="5"/>
  </w:num>
  <w:num w:numId="37" w16cid:durableId="431827777">
    <w:abstractNumId w:val="2"/>
  </w:num>
  <w:num w:numId="38" w16cid:durableId="439685762">
    <w:abstractNumId w:val="31"/>
  </w:num>
  <w:num w:numId="39" w16cid:durableId="1766418621">
    <w:abstractNumId w:val="36"/>
  </w:num>
  <w:num w:numId="40" w16cid:durableId="1473985626">
    <w:abstractNumId w:val="16"/>
  </w:num>
  <w:num w:numId="41" w16cid:durableId="1598558144">
    <w:abstractNumId w:val="44"/>
  </w:num>
  <w:num w:numId="42" w16cid:durableId="879440524">
    <w:abstractNumId w:val="21"/>
  </w:num>
  <w:num w:numId="43" w16cid:durableId="569078292">
    <w:abstractNumId w:val="3"/>
  </w:num>
  <w:num w:numId="44" w16cid:durableId="436560504">
    <w:abstractNumId w:val="13"/>
  </w:num>
  <w:num w:numId="45" w16cid:durableId="1027633120">
    <w:abstractNumId w:val="23"/>
  </w:num>
  <w:num w:numId="46" w16cid:durableId="1266888356">
    <w:abstractNumId w:val="20"/>
  </w:num>
  <w:num w:numId="47" w16cid:durableId="110712562">
    <w:abstractNumId w:val="18"/>
  </w:num>
  <w:num w:numId="48" w16cid:durableId="929046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F07"/>
    <w:rsid w:val="00013C42"/>
    <w:rsid w:val="00014D67"/>
    <w:rsid w:val="00016A94"/>
    <w:rsid w:val="00021723"/>
    <w:rsid w:val="00021FCC"/>
    <w:rsid w:val="00024F34"/>
    <w:rsid w:val="0002546A"/>
    <w:rsid w:val="00032CBF"/>
    <w:rsid w:val="0003323E"/>
    <w:rsid w:val="0004205E"/>
    <w:rsid w:val="00047A6E"/>
    <w:rsid w:val="00050524"/>
    <w:rsid w:val="00066463"/>
    <w:rsid w:val="0007636F"/>
    <w:rsid w:val="00081CEE"/>
    <w:rsid w:val="00084B49"/>
    <w:rsid w:val="00086B16"/>
    <w:rsid w:val="00092C0A"/>
    <w:rsid w:val="00094D9F"/>
    <w:rsid w:val="000A35DA"/>
    <w:rsid w:val="000A3E34"/>
    <w:rsid w:val="000B30A6"/>
    <w:rsid w:val="000B39C5"/>
    <w:rsid w:val="000B50F1"/>
    <w:rsid w:val="000C41BE"/>
    <w:rsid w:val="000C614C"/>
    <w:rsid w:val="000C6C52"/>
    <w:rsid w:val="000D1904"/>
    <w:rsid w:val="000D2DA8"/>
    <w:rsid w:val="000D512E"/>
    <w:rsid w:val="000E0152"/>
    <w:rsid w:val="000E1C6F"/>
    <w:rsid w:val="000E370D"/>
    <w:rsid w:val="000E65A4"/>
    <w:rsid w:val="00101381"/>
    <w:rsid w:val="00105533"/>
    <w:rsid w:val="001072FB"/>
    <w:rsid w:val="00107817"/>
    <w:rsid w:val="00112EF1"/>
    <w:rsid w:val="00116659"/>
    <w:rsid w:val="001175AA"/>
    <w:rsid w:val="00125A3A"/>
    <w:rsid w:val="00126916"/>
    <w:rsid w:val="00126980"/>
    <w:rsid w:val="001303DD"/>
    <w:rsid w:val="001348DA"/>
    <w:rsid w:val="001365B5"/>
    <w:rsid w:val="00136CD0"/>
    <w:rsid w:val="0013737F"/>
    <w:rsid w:val="00142BF2"/>
    <w:rsid w:val="001447C1"/>
    <w:rsid w:val="00145BCA"/>
    <w:rsid w:val="0015216F"/>
    <w:rsid w:val="00153523"/>
    <w:rsid w:val="00157729"/>
    <w:rsid w:val="00164587"/>
    <w:rsid w:val="001665A3"/>
    <w:rsid w:val="00173095"/>
    <w:rsid w:val="001743EF"/>
    <w:rsid w:val="00174A31"/>
    <w:rsid w:val="00177232"/>
    <w:rsid w:val="00187186"/>
    <w:rsid w:val="001978EB"/>
    <w:rsid w:val="001A2AF1"/>
    <w:rsid w:val="001A6AE9"/>
    <w:rsid w:val="001C013E"/>
    <w:rsid w:val="001D1743"/>
    <w:rsid w:val="001D17CF"/>
    <w:rsid w:val="001E2543"/>
    <w:rsid w:val="001E6C60"/>
    <w:rsid w:val="001F238A"/>
    <w:rsid w:val="002171A2"/>
    <w:rsid w:val="002217D1"/>
    <w:rsid w:val="002264B8"/>
    <w:rsid w:val="00235361"/>
    <w:rsid w:val="00236F62"/>
    <w:rsid w:val="00237D76"/>
    <w:rsid w:val="00251FCE"/>
    <w:rsid w:val="00252F13"/>
    <w:rsid w:val="00254313"/>
    <w:rsid w:val="0026513E"/>
    <w:rsid w:val="002729A5"/>
    <w:rsid w:val="002862C1"/>
    <w:rsid w:val="00286449"/>
    <w:rsid w:val="00287EC3"/>
    <w:rsid w:val="00293F29"/>
    <w:rsid w:val="002941D1"/>
    <w:rsid w:val="002A18A5"/>
    <w:rsid w:val="002A2A12"/>
    <w:rsid w:val="002B5285"/>
    <w:rsid w:val="002C05D0"/>
    <w:rsid w:val="002C6429"/>
    <w:rsid w:val="002D096D"/>
    <w:rsid w:val="002D11FE"/>
    <w:rsid w:val="002D2CB2"/>
    <w:rsid w:val="002D35EC"/>
    <w:rsid w:val="002D3FE3"/>
    <w:rsid w:val="002D5E8B"/>
    <w:rsid w:val="002E4A97"/>
    <w:rsid w:val="002E71C4"/>
    <w:rsid w:val="002F226A"/>
    <w:rsid w:val="00301DC2"/>
    <w:rsid w:val="003227FD"/>
    <w:rsid w:val="00325A55"/>
    <w:rsid w:val="003343DB"/>
    <w:rsid w:val="00336655"/>
    <w:rsid w:val="00342B3C"/>
    <w:rsid w:val="00346554"/>
    <w:rsid w:val="003503EB"/>
    <w:rsid w:val="00350767"/>
    <w:rsid w:val="00350E4B"/>
    <w:rsid w:val="003533A1"/>
    <w:rsid w:val="003650D5"/>
    <w:rsid w:val="003651DE"/>
    <w:rsid w:val="00366F75"/>
    <w:rsid w:val="00367CB8"/>
    <w:rsid w:val="003711C0"/>
    <w:rsid w:val="00373197"/>
    <w:rsid w:val="00375BFA"/>
    <w:rsid w:val="0038390A"/>
    <w:rsid w:val="003A0BBF"/>
    <w:rsid w:val="003A3C08"/>
    <w:rsid w:val="003A6449"/>
    <w:rsid w:val="003A73D2"/>
    <w:rsid w:val="003B1017"/>
    <w:rsid w:val="003B3F46"/>
    <w:rsid w:val="003B4DDE"/>
    <w:rsid w:val="003B625C"/>
    <w:rsid w:val="003C0C28"/>
    <w:rsid w:val="003C0F32"/>
    <w:rsid w:val="003C2045"/>
    <w:rsid w:val="003C6CAC"/>
    <w:rsid w:val="003D3516"/>
    <w:rsid w:val="003E1394"/>
    <w:rsid w:val="003E582F"/>
    <w:rsid w:val="00401B59"/>
    <w:rsid w:val="00405CE5"/>
    <w:rsid w:val="0041604F"/>
    <w:rsid w:val="00416865"/>
    <w:rsid w:val="00427DD9"/>
    <w:rsid w:val="004317DB"/>
    <w:rsid w:val="00432C5C"/>
    <w:rsid w:val="00437C19"/>
    <w:rsid w:val="004464F8"/>
    <w:rsid w:val="004578C0"/>
    <w:rsid w:val="00461D1F"/>
    <w:rsid w:val="0046422D"/>
    <w:rsid w:val="00470148"/>
    <w:rsid w:val="00470526"/>
    <w:rsid w:val="004724CB"/>
    <w:rsid w:val="004848A4"/>
    <w:rsid w:val="004965F6"/>
    <w:rsid w:val="004A0755"/>
    <w:rsid w:val="004A6BE3"/>
    <w:rsid w:val="004B078F"/>
    <w:rsid w:val="004C03E9"/>
    <w:rsid w:val="004C4371"/>
    <w:rsid w:val="004C7D38"/>
    <w:rsid w:val="004D0D86"/>
    <w:rsid w:val="004D10C6"/>
    <w:rsid w:val="004D2643"/>
    <w:rsid w:val="004D294E"/>
    <w:rsid w:val="004D3D03"/>
    <w:rsid w:val="004D4586"/>
    <w:rsid w:val="004D6329"/>
    <w:rsid w:val="004E034B"/>
    <w:rsid w:val="004E17FC"/>
    <w:rsid w:val="004E274E"/>
    <w:rsid w:val="004E517F"/>
    <w:rsid w:val="004F778E"/>
    <w:rsid w:val="004F7A38"/>
    <w:rsid w:val="00500D07"/>
    <w:rsid w:val="0050148F"/>
    <w:rsid w:val="00502F91"/>
    <w:rsid w:val="00520AAA"/>
    <w:rsid w:val="00520B2A"/>
    <w:rsid w:val="005338E4"/>
    <w:rsid w:val="0054286C"/>
    <w:rsid w:val="00543E5A"/>
    <w:rsid w:val="00545A32"/>
    <w:rsid w:val="0054645F"/>
    <w:rsid w:val="005616ED"/>
    <w:rsid w:val="005629D0"/>
    <w:rsid w:val="00564A4E"/>
    <w:rsid w:val="005815B6"/>
    <w:rsid w:val="00584E85"/>
    <w:rsid w:val="005871DA"/>
    <w:rsid w:val="00587695"/>
    <w:rsid w:val="0059054D"/>
    <w:rsid w:val="0059316B"/>
    <w:rsid w:val="005949A8"/>
    <w:rsid w:val="005A077D"/>
    <w:rsid w:val="005A4320"/>
    <w:rsid w:val="005A498D"/>
    <w:rsid w:val="005B08ED"/>
    <w:rsid w:val="005C19CA"/>
    <w:rsid w:val="005C4522"/>
    <w:rsid w:val="005D49BF"/>
    <w:rsid w:val="005F30C3"/>
    <w:rsid w:val="005F7863"/>
    <w:rsid w:val="0060353B"/>
    <w:rsid w:val="00620876"/>
    <w:rsid w:val="00624FD0"/>
    <w:rsid w:val="00630C5E"/>
    <w:rsid w:val="006315B4"/>
    <w:rsid w:val="00635AC3"/>
    <w:rsid w:val="00636FFB"/>
    <w:rsid w:val="00654CCF"/>
    <w:rsid w:val="00665F82"/>
    <w:rsid w:val="0066645B"/>
    <w:rsid w:val="0067186C"/>
    <w:rsid w:val="00671E11"/>
    <w:rsid w:val="006738E9"/>
    <w:rsid w:val="006779DA"/>
    <w:rsid w:val="00687EB3"/>
    <w:rsid w:val="00692980"/>
    <w:rsid w:val="00692F01"/>
    <w:rsid w:val="00693246"/>
    <w:rsid w:val="0069506F"/>
    <w:rsid w:val="00696582"/>
    <w:rsid w:val="006A1DBB"/>
    <w:rsid w:val="006B4E40"/>
    <w:rsid w:val="006C103A"/>
    <w:rsid w:val="006C4E6A"/>
    <w:rsid w:val="006C50E8"/>
    <w:rsid w:val="006D464D"/>
    <w:rsid w:val="006E6F11"/>
    <w:rsid w:val="006F0B6B"/>
    <w:rsid w:val="006F144D"/>
    <w:rsid w:val="006F461B"/>
    <w:rsid w:val="006F622C"/>
    <w:rsid w:val="00700FF6"/>
    <w:rsid w:val="00704D44"/>
    <w:rsid w:val="00715A68"/>
    <w:rsid w:val="00715DD5"/>
    <w:rsid w:val="00715ECF"/>
    <w:rsid w:val="00716282"/>
    <w:rsid w:val="00717A04"/>
    <w:rsid w:val="00717BFE"/>
    <w:rsid w:val="007208C5"/>
    <w:rsid w:val="00725BB4"/>
    <w:rsid w:val="0073180A"/>
    <w:rsid w:val="00732997"/>
    <w:rsid w:val="007336C3"/>
    <w:rsid w:val="00735033"/>
    <w:rsid w:val="0075058A"/>
    <w:rsid w:val="00756485"/>
    <w:rsid w:val="0075705D"/>
    <w:rsid w:val="007626E1"/>
    <w:rsid w:val="00767F65"/>
    <w:rsid w:val="00770D6C"/>
    <w:rsid w:val="00783515"/>
    <w:rsid w:val="00787C94"/>
    <w:rsid w:val="00791BCB"/>
    <w:rsid w:val="007921BD"/>
    <w:rsid w:val="00793A02"/>
    <w:rsid w:val="00795C6B"/>
    <w:rsid w:val="007A1566"/>
    <w:rsid w:val="007A3995"/>
    <w:rsid w:val="007A5AC5"/>
    <w:rsid w:val="007B622D"/>
    <w:rsid w:val="007C4288"/>
    <w:rsid w:val="007C484E"/>
    <w:rsid w:val="007D4853"/>
    <w:rsid w:val="007D57C4"/>
    <w:rsid w:val="007E0429"/>
    <w:rsid w:val="007E41DE"/>
    <w:rsid w:val="007E4CE3"/>
    <w:rsid w:val="007E61F9"/>
    <w:rsid w:val="007F2B1F"/>
    <w:rsid w:val="007F6887"/>
    <w:rsid w:val="00802F7A"/>
    <w:rsid w:val="00806A1C"/>
    <w:rsid w:val="0080773A"/>
    <w:rsid w:val="008173F3"/>
    <w:rsid w:val="0082092A"/>
    <w:rsid w:val="0082117C"/>
    <w:rsid w:val="008227E9"/>
    <w:rsid w:val="008252C5"/>
    <w:rsid w:val="00831860"/>
    <w:rsid w:val="00832F2D"/>
    <w:rsid w:val="00836C6A"/>
    <w:rsid w:val="00841C9F"/>
    <w:rsid w:val="0084294E"/>
    <w:rsid w:val="00843EFF"/>
    <w:rsid w:val="008442A5"/>
    <w:rsid w:val="008477A9"/>
    <w:rsid w:val="0085416A"/>
    <w:rsid w:val="00856B0F"/>
    <w:rsid w:val="0087186A"/>
    <w:rsid w:val="00872C56"/>
    <w:rsid w:val="00874F67"/>
    <w:rsid w:val="00876AC2"/>
    <w:rsid w:val="00880264"/>
    <w:rsid w:val="00883F43"/>
    <w:rsid w:val="00884C98"/>
    <w:rsid w:val="00884CE2"/>
    <w:rsid w:val="00885E7D"/>
    <w:rsid w:val="0089363F"/>
    <w:rsid w:val="00894D05"/>
    <w:rsid w:val="00896ED8"/>
    <w:rsid w:val="008A209D"/>
    <w:rsid w:val="008A2436"/>
    <w:rsid w:val="008A4E8C"/>
    <w:rsid w:val="008A563D"/>
    <w:rsid w:val="008B1443"/>
    <w:rsid w:val="008B3B0A"/>
    <w:rsid w:val="008C2BA0"/>
    <w:rsid w:val="008C69F2"/>
    <w:rsid w:val="008C703D"/>
    <w:rsid w:val="008D1D44"/>
    <w:rsid w:val="008D3E6C"/>
    <w:rsid w:val="008E04EC"/>
    <w:rsid w:val="008E43F4"/>
    <w:rsid w:val="008F42F6"/>
    <w:rsid w:val="008F5282"/>
    <w:rsid w:val="00912BAC"/>
    <w:rsid w:val="00925058"/>
    <w:rsid w:val="00926CDB"/>
    <w:rsid w:val="00930113"/>
    <w:rsid w:val="009356EC"/>
    <w:rsid w:val="00937FB2"/>
    <w:rsid w:val="0094114F"/>
    <w:rsid w:val="00955F42"/>
    <w:rsid w:val="0095690D"/>
    <w:rsid w:val="009609C5"/>
    <w:rsid w:val="00965B1A"/>
    <w:rsid w:val="00971B57"/>
    <w:rsid w:val="00973208"/>
    <w:rsid w:val="00976933"/>
    <w:rsid w:val="00981893"/>
    <w:rsid w:val="00984974"/>
    <w:rsid w:val="00986438"/>
    <w:rsid w:val="00987DBF"/>
    <w:rsid w:val="009970F9"/>
    <w:rsid w:val="009A5590"/>
    <w:rsid w:val="009B70D6"/>
    <w:rsid w:val="009C3837"/>
    <w:rsid w:val="009C44BD"/>
    <w:rsid w:val="009C537F"/>
    <w:rsid w:val="009D0585"/>
    <w:rsid w:val="009D2BB3"/>
    <w:rsid w:val="009E0846"/>
    <w:rsid w:val="009E1EF4"/>
    <w:rsid w:val="009E1F32"/>
    <w:rsid w:val="009E4BD5"/>
    <w:rsid w:val="009F1BE0"/>
    <w:rsid w:val="009F7CED"/>
    <w:rsid w:val="00A04569"/>
    <w:rsid w:val="00A0736A"/>
    <w:rsid w:val="00A07DE7"/>
    <w:rsid w:val="00A120D6"/>
    <w:rsid w:val="00A1301A"/>
    <w:rsid w:val="00A14C37"/>
    <w:rsid w:val="00A161B9"/>
    <w:rsid w:val="00A219D7"/>
    <w:rsid w:val="00A26A06"/>
    <w:rsid w:val="00A2785C"/>
    <w:rsid w:val="00A27D3B"/>
    <w:rsid w:val="00A33DCF"/>
    <w:rsid w:val="00A377FE"/>
    <w:rsid w:val="00A40521"/>
    <w:rsid w:val="00A4128C"/>
    <w:rsid w:val="00A41AEF"/>
    <w:rsid w:val="00A447B3"/>
    <w:rsid w:val="00A500DD"/>
    <w:rsid w:val="00A52C3F"/>
    <w:rsid w:val="00A55DB6"/>
    <w:rsid w:val="00A61784"/>
    <w:rsid w:val="00A64120"/>
    <w:rsid w:val="00A72973"/>
    <w:rsid w:val="00A74AFD"/>
    <w:rsid w:val="00A80613"/>
    <w:rsid w:val="00A83A98"/>
    <w:rsid w:val="00A85AEA"/>
    <w:rsid w:val="00A94019"/>
    <w:rsid w:val="00AA28E8"/>
    <w:rsid w:val="00AB0708"/>
    <w:rsid w:val="00AB0C45"/>
    <w:rsid w:val="00AB6652"/>
    <w:rsid w:val="00AC1AF8"/>
    <w:rsid w:val="00AC447D"/>
    <w:rsid w:val="00AD5446"/>
    <w:rsid w:val="00AD623F"/>
    <w:rsid w:val="00AE03F3"/>
    <w:rsid w:val="00AF569A"/>
    <w:rsid w:val="00AF5E71"/>
    <w:rsid w:val="00B13AE3"/>
    <w:rsid w:val="00B237AC"/>
    <w:rsid w:val="00B25550"/>
    <w:rsid w:val="00B30DCD"/>
    <w:rsid w:val="00B377D3"/>
    <w:rsid w:val="00B4178F"/>
    <w:rsid w:val="00B4216E"/>
    <w:rsid w:val="00B448DC"/>
    <w:rsid w:val="00B463AC"/>
    <w:rsid w:val="00B51095"/>
    <w:rsid w:val="00B6123C"/>
    <w:rsid w:val="00B61CA6"/>
    <w:rsid w:val="00B65F1B"/>
    <w:rsid w:val="00B66D03"/>
    <w:rsid w:val="00B7000F"/>
    <w:rsid w:val="00B729FC"/>
    <w:rsid w:val="00B73EC6"/>
    <w:rsid w:val="00B766E4"/>
    <w:rsid w:val="00B8326D"/>
    <w:rsid w:val="00B84AF8"/>
    <w:rsid w:val="00B937B6"/>
    <w:rsid w:val="00BA450F"/>
    <w:rsid w:val="00BB545F"/>
    <w:rsid w:val="00BD4B65"/>
    <w:rsid w:val="00BE280C"/>
    <w:rsid w:val="00BE6BA3"/>
    <w:rsid w:val="00BF054E"/>
    <w:rsid w:val="00BF0DB9"/>
    <w:rsid w:val="00C12B93"/>
    <w:rsid w:val="00C134C3"/>
    <w:rsid w:val="00C26C14"/>
    <w:rsid w:val="00C27D76"/>
    <w:rsid w:val="00C31D59"/>
    <w:rsid w:val="00C36892"/>
    <w:rsid w:val="00C4009A"/>
    <w:rsid w:val="00C401C2"/>
    <w:rsid w:val="00C43BD2"/>
    <w:rsid w:val="00C46330"/>
    <w:rsid w:val="00C47F73"/>
    <w:rsid w:val="00C52E86"/>
    <w:rsid w:val="00C6077B"/>
    <w:rsid w:val="00C61441"/>
    <w:rsid w:val="00C6398B"/>
    <w:rsid w:val="00C7294E"/>
    <w:rsid w:val="00C91F90"/>
    <w:rsid w:val="00CA57DF"/>
    <w:rsid w:val="00CB0063"/>
    <w:rsid w:val="00CB4D37"/>
    <w:rsid w:val="00CB66F7"/>
    <w:rsid w:val="00CC0C62"/>
    <w:rsid w:val="00CC259C"/>
    <w:rsid w:val="00CC42D1"/>
    <w:rsid w:val="00CC5B3E"/>
    <w:rsid w:val="00CE1A87"/>
    <w:rsid w:val="00CF25EF"/>
    <w:rsid w:val="00D04A96"/>
    <w:rsid w:val="00D05B67"/>
    <w:rsid w:val="00D05D52"/>
    <w:rsid w:val="00D24980"/>
    <w:rsid w:val="00D26D53"/>
    <w:rsid w:val="00D31F43"/>
    <w:rsid w:val="00D40E59"/>
    <w:rsid w:val="00D415E6"/>
    <w:rsid w:val="00D444C5"/>
    <w:rsid w:val="00D530DC"/>
    <w:rsid w:val="00D62023"/>
    <w:rsid w:val="00D7070F"/>
    <w:rsid w:val="00D707BF"/>
    <w:rsid w:val="00D709DD"/>
    <w:rsid w:val="00D8294A"/>
    <w:rsid w:val="00D83F98"/>
    <w:rsid w:val="00D84A75"/>
    <w:rsid w:val="00D85F90"/>
    <w:rsid w:val="00D90649"/>
    <w:rsid w:val="00D91E89"/>
    <w:rsid w:val="00D9213D"/>
    <w:rsid w:val="00D965B1"/>
    <w:rsid w:val="00D97DF9"/>
    <w:rsid w:val="00D97F1C"/>
    <w:rsid w:val="00DA6526"/>
    <w:rsid w:val="00DA6C54"/>
    <w:rsid w:val="00DB5C36"/>
    <w:rsid w:val="00DC54A3"/>
    <w:rsid w:val="00DD181C"/>
    <w:rsid w:val="00DD2F2C"/>
    <w:rsid w:val="00DD3F04"/>
    <w:rsid w:val="00DD48D9"/>
    <w:rsid w:val="00DE1540"/>
    <w:rsid w:val="00DE520C"/>
    <w:rsid w:val="00DF1E66"/>
    <w:rsid w:val="00DF60FD"/>
    <w:rsid w:val="00DF6410"/>
    <w:rsid w:val="00E007F7"/>
    <w:rsid w:val="00E0174F"/>
    <w:rsid w:val="00E05F18"/>
    <w:rsid w:val="00E06A27"/>
    <w:rsid w:val="00E12202"/>
    <w:rsid w:val="00E20331"/>
    <w:rsid w:val="00E242C5"/>
    <w:rsid w:val="00E24673"/>
    <w:rsid w:val="00E24F26"/>
    <w:rsid w:val="00E261B4"/>
    <w:rsid w:val="00E31E85"/>
    <w:rsid w:val="00E407FF"/>
    <w:rsid w:val="00E40C34"/>
    <w:rsid w:val="00E41E2C"/>
    <w:rsid w:val="00E44207"/>
    <w:rsid w:val="00E5082A"/>
    <w:rsid w:val="00E66C57"/>
    <w:rsid w:val="00E66D00"/>
    <w:rsid w:val="00E7224C"/>
    <w:rsid w:val="00E729F2"/>
    <w:rsid w:val="00E75DBD"/>
    <w:rsid w:val="00E805D3"/>
    <w:rsid w:val="00E80826"/>
    <w:rsid w:val="00E84DA1"/>
    <w:rsid w:val="00E91332"/>
    <w:rsid w:val="00EA3045"/>
    <w:rsid w:val="00EC1DE8"/>
    <w:rsid w:val="00EC35AE"/>
    <w:rsid w:val="00ED4708"/>
    <w:rsid w:val="00EE0D69"/>
    <w:rsid w:val="00EE0F26"/>
    <w:rsid w:val="00EE2ABB"/>
    <w:rsid w:val="00EF192B"/>
    <w:rsid w:val="00F06B8A"/>
    <w:rsid w:val="00F07A7D"/>
    <w:rsid w:val="00F11163"/>
    <w:rsid w:val="00F153C1"/>
    <w:rsid w:val="00F16839"/>
    <w:rsid w:val="00F211E7"/>
    <w:rsid w:val="00F21D37"/>
    <w:rsid w:val="00F221F0"/>
    <w:rsid w:val="00F26136"/>
    <w:rsid w:val="00F2713B"/>
    <w:rsid w:val="00F305D8"/>
    <w:rsid w:val="00F37106"/>
    <w:rsid w:val="00F44A2E"/>
    <w:rsid w:val="00F47D57"/>
    <w:rsid w:val="00F55DC4"/>
    <w:rsid w:val="00F576B3"/>
    <w:rsid w:val="00F741AF"/>
    <w:rsid w:val="00F745E1"/>
    <w:rsid w:val="00F75A79"/>
    <w:rsid w:val="00F7620E"/>
    <w:rsid w:val="00F775AD"/>
    <w:rsid w:val="00F77DB8"/>
    <w:rsid w:val="00F80E07"/>
    <w:rsid w:val="00F90326"/>
    <w:rsid w:val="00F90F86"/>
    <w:rsid w:val="00F92DF0"/>
    <w:rsid w:val="00FA0454"/>
    <w:rsid w:val="00FA4A9E"/>
    <w:rsid w:val="00FA7D61"/>
    <w:rsid w:val="00FB1248"/>
    <w:rsid w:val="00FB1453"/>
    <w:rsid w:val="00FB217D"/>
    <w:rsid w:val="00FB29CC"/>
    <w:rsid w:val="00FC0522"/>
    <w:rsid w:val="00FC2DE3"/>
    <w:rsid w:val="00FD3D04"/>
    <w:rsid w:val="00FD49A0"/>
    <w:rsid w:val="00FE16AC"/>
    <w:rsid w:val="00FE27DE"/>
    <w:rsid w:val="00FE2D84"/>
    <w:rsid w:val="00FF66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 w:type="paragraph" w:styleId="Prrafodelista">
    <w:name w:val="List Paragraph"/>
    <w:basedOn w:val="Normal"/>
    <w:uiPriority w:val="72"/>
    <w:qFormat/>
    <w:rsid w:val="00C6398B"/>
    <w:pPr>
      <w:ind w:left="720"/>
      <w:contextualSpacing/>
    </w:pPr>
  </w:style>
  <w:style w:type="paragraph" w:styleId="Revisin">
    <w:name w:val="Revision"/>
    <w:hidden/>
    <w:uiPriority w:val="71"/>
    <w:rsid w:val="003B1017"/>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672873433">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mintic-my.sharepoint.com/personal/consensosocial_mintic_gov_co/_layouts/15/onedrive.aspx?id=%2Fpersonal%2Fconsensosocial%5Fmintic%5Fgov%5Fco%2FDocuments%2FREPOSITORIO%20CONSENSO%20SOCIAL%2FEvidencias%20Pol%C3%ADtica%20AfroTIC%20%2D%2D%20OK&amp;viewid=53c1d758%2D36f9%2D4d35%2Db308%2Dfb9dfdaeb868&amp;sharingv2=true&amp;fromShare=true&amp;at=9&amp;CT=1774895646185&amp;OR=OWA%2DNT%2DMail&amp;CID=d626c78b%2D44dd%2D5240%2D3485%2D68dc21bede6a&amp;clickParams=eyJYLUFwcE5hbWUiOiJNaWNyb3NvZnQgT3V0bG9vayBXZWIgQXBwIiwiWC1BcHBWZXJzaW9uIjoiMjAyNjAzMjAwMDIuMDYiLCJPUyI6IldpbmRvd3MgMTEifQ%3D%3D&amp;cidOR=Client&amp;FolderCTID=0x012000A8A974C477C4FE4DA003599AC8FE9B5A&amp;view=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3.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customXml/itemProps4.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4614</Words>
  <Characters>27088</Characters>
  <Application>Microsoft Office Word</Application>
  <DocSecurity>0</DocSecurity>
  <Lines>511</Lines>
  <Paragraphs>127</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Milena Lopez Lopez</cp:lastModifiedBy>
  <cp:revision>3</cp:revision>
  <cp:lastPrinted>2019-07-08T22:30:00Z</cp:lastPrinted>
  <dcterms:created xsi:type="dcterms:W3CDTF">2026-04-06T17:00:00Z</dcterms:created>
  <dcterms:modified xsi:type="dcterms:W3CDTF">2026-04-06T17:00:00Z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