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color="auto" w:sz="4" w:space="0"/>
          <w:left w:val="single" w:color="auto" w:sz="4" w:space="0"/>
          <w:bottom w:val="single" w:color="auto" w:sz="4" w:space="0"/>
          <w:right w:val="single" w:color="auto" w:sz="4" w:space="0"/>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Pr="009F7CED" w:rsidR="005C4522" w:rsidTr="620B8672" w14:paraId="37976A32" w14:textId="77777777">
        <w:trPr>
          <w:trHeight w:val="97"/>
        </w:trPr>
        <w:tc>
          <w:tcPr>
            <w:tcW w:w="3434" w:type="dxa"/>
            <w:tcBorders>
              <w:top w:val="single" w:color="auto" w:sz="4" w:space="0"/>
              <w:bottom w:val="single" w:color="auto" w:sz="4" w:space="0"/>
              <w:right w:val="single" w:color="auto" w:sz="4" w:space="0"/>
            </w:tcBorders>
            <w:shd w:val="clear" w:color="auto" w:fill="D9D9D9" w:themeFill="background1" w:themeFillShade="D9"/>
            <w:vAlign w:val="center"/>
          </w:tcPr>
          <w:p w:rsidRPr="008C703D" w:rsidR="0026513E" w:rsidP="002264B8" w:rsidRDefault="00795C6B" w14:paraId="2221798A" w14:textId="77777777">
            <w:pPr>
              <w:pStyle w:val="Ttulo2"/>
              <w:ind w:right="72"/>
              <w:jc w:val="left"/>
              <w:rPr>
                <w:rFonts w:cs="Arial"/>
                <w:bCs/>
                <w:sz w:val="22"/>
                <w:szCs w:val="22"/>
              </w:rPr>
            </w:pPr>
            <w:r w:rsidRPr="008C703D">
              <w:rPr>
                <w:rFonts w:cs="Arial"/>
                <w:sz w:val="22"/>
                <w:szCs w:val="22"/>
                <w:lang w:val="es-CO"/>
              </w:rPr>
              <w:t>Entidad</w:t>
            </w:r>
            <w:r w:rsidRPr="008C703D" w:rsidR="00086B16">
              <w:rPr>
                <w:rFonts w:cs="Arial"/>
                <w:sz w:val="22"/>
                <w:szCs w:val="22"/>
                <w:lang w:val="es-CO"/>
              </w:rPr>
              <w:t xml:space="preserve"> </w:t>
            </w:r>
            <w:r w:rsidRPr="008C703D">
              <w:rPr>
                <w:rFonts w:cs="Arial"/>
                <w:sz w:val="22"/>
                <w:szCs w:val="22"/>
                <w:lang w:val="es-CO"/>
              </w:rPr>
              <w:t>originadora</w:t>
            </w:r>
            <w:r w:rsidRPr="008C703D" w:rsidR="00293F29">
              <w:rPr>
                <w:rFonts w:cs="Arial"/>
                <w:sz w:val="22"/>
                <w:szCs w:val="22"/>
                <w:lang w:val="es-CO"/>
              </w:rPr>
              <w:t>:</w:t>
            </w:r>
          </w:p>
        </w:tc>
        <w:tc>
          <w:tcPr>
            <w:tcW w:w="7340" w:type="dxa"/>
            <w:gridSpan w:val="2"/>
            <w:tcBorders>
              <w:top w:val="single" w:color="auto" w:sz="4" w:space="0"/>
              <w:left w:val="single" w:color="auto" w:sz="4" w:space="0"/>
              <w:bottom w:val="single" w:color="auto" w:sz="4" w:space="0"/>
            </w:tcBorders>
            <w:shd w:val="clear" w:color="auto" w:fill="FFFFFF" w:themeFill="background1"/>
            <w:vAlign w:val="center"/>
          </w:tcPr>
          <w:p w:rsidRPr="00084B49" w:rsidR="0026513E" w:rsidP="00795C6B" w:rsidRDefault="00632953" w14:paraId="79406CB6" w14:textId="2EC2615E">
            <w:pPr>
              <w:pStyle w:val="Ttulo2"/>
              <w:ind w:left="72" w:right="72"/>
              <w:jc w:val="left"/>
              <w:rPr>
                <w:rFonts w:cs="Arial"/>
                <w:b w:val="0"/>
                <w:i/>
                <w:color w:val="808080"/>
                <w:sz w:val="22"/>
                <w:szCs w:val="22"/>
              </w:rPr>
            </w:pPr>
            <w:r w:rsidRPr="00632953">
              <w:rPr>
                <w:rFonts w:cs="Arial"/>
                <w:b w:val="0"/>
                <w:i/>
                <w:color w:val="808080"/>
                <w:sz w:val="22"/>
                <w:szCs w:val="22"/>
              </w:rPr>
              <w:t>Dirección de Industria de Comunicaciones</w:t>
            </w:r>
          </w:p>
        </w:tc>
      </w:tr>
      <w:tr w:rsidRPr="009F7CED" w:rsidR="005C4522" w:rsidTr="620B8672" w14:paraId="53D25FCD" w14:textId="77777777">
        <w:trPr>
          <w:trHeight w:val="97"/>
        </w:trPr>
        <w:tc>
          <w:tcPr>
            <w:tcW w:w="3434" w:type="dxa"/>
            <w:tcBorders>
              <w:top w:val="single" w:color="auto" w:sz="4" w:space="0"/>
              <w:bottom w:val="single" w:color="auto" w:sz="4" w:space="0"/>
              <w:right w:val="single" w:color="auto" w:sz="4" w:space="0"/>
            </w:tcBorders>
            <w:shd w:val="clear" w:color="auto" w:fill="D9D9D9" w:themeFill="background1" w:themeFillShade="D9"/>
            <w:vAlign w:val="center"/>
          </w:tcPr>
          <w:p w:rsidRPr="008C703D" w:rsidR="00C47F73" w:rsidP="002264B8" w:rsidRDefault="0026513E" w14:paraId="46D1BF2E" w14:textId="77777777">
            <w:pPr>
              <w:pStyle w:val="Ttulo2"/>
              <w:ind w:right="72"/>
              <w:jc w:val="left"/>
              <w:rPr>
                <w:rFonts w:cs="Arial"/>
                <w:bCs/>
                <w:sz w:val="22"/>
                <w:szCs w:val="22"/>
              </w:rPr>
            </w:pPr>
            <w:r w:rsidRPr="008C703D">
              <w:rPr>
                <w:rFonts w:cs="Arial"/>
                <w:bCs/>
                <w:sz w:val="22"/>
                <w:szCs w:val="22"/>
              </w:rPr>
              <w:t>Fecha</w:t>
            </w:r>
            <w:r w:rsidRPr="008C703D" w:rsidR="00BB545F">
              <w:rPr>
                <w:rFonts w:cs="Arial"/>
                <w:bCs/>
                <w:sz w:val="22"/>
                <w:szCs w:val="22"/>
              </w:rPr>
              <w:t xml:space="preserve"> (dd/mm/aa)</w:t>
            </w:r>
            <w:r w:rsidRPr="008C703D" w:rsidR="00293F29">
              <w:rPr>
                <w:rFonts w:cs="Arial"/>
                <w:bCs/>
                <w:sz w:val="22"/>
                <w:szCs w:val="22"/>
              </w:rPr>
              <w:t>:</w:t>
            </w:r>
          </w:p>
        </w:tc>
        <w:tc>
          <w:tcPr>
            <w:tcW w:w="7340" w:type="dxa"/>
            <w:gridSpan w:val="2"/>
            <w:tcBorders>
              <w:top w:val="single" w:color="auto" w:sz="4" w:space="0"/>
              <w:left w:val="single" w:color="auto" w:sz="4" w:space="0"/>
              <w:bottom w:val="single" w:color="auto" w:sz="4" w:space="0"/>
            </w:tcBorders>
            <w:shd w:val="clear" w:color="auto" w:fill="FFFFFF" w:themeFill="background1"/>
            <w:vAlign w:val="center"/>
          </w:tcPr>
          <w:p w:rsidRPr="009F7CED" w:rsidR="00C47F73" w:rsidP="005F30C3" w:rsidRDefault="00795C6B" w14:paraId="77A01855" w14:textId="426991C5">
            <w:pPr>
              <w:pStyle w:val="Ttulo2"/>
              <w:ind w:left="72" w:right="72"/>
              <w:jc w:val="left"/>
              <w:rPr>
                <w:rFonts w:cs="Arial"/>
                <w:b w:val="0"/>
                <w:sz w:val="22"/>
                <w:szCs w:val="22"/>
              </w:rPr>
            </w:pPr>
            <w:r w:rsidRPr="00084B49">
              <w:rPr>
                <w:rFonts w:cs="Arial"/>
                <w:b w:val="0"/>
                <w:i/>
                <w:color w:val="808080"/>
                <w:sz w:val="22"/>
                <w:szCs w:val="22"/>
              </w:rPr>
              <w:t>fecha en que se presenta a Secretaría Jurídica de Presidencia</w:t>
            </w:r>
            <w:r w:rsidR="00632953">
              <w:rPr>
                <w:rFonts w:cs="Arial"/>
                <w:b w:val="0"/>
                <w:i/>
                <w:color w:val="808080"/>
                <w:sz w:val="22"/>
                <w:szCs w:val="22"/>
              </w:rPr>
              <w:t>: XX/XX/2026</w:t>
            </w:r>
          </w:p>
        </w:tc>
      </w:tr>
      <w:tr w:rsidRPr="009F7CED" w:rsidR="005C4522" w:rsidTr="620B8672" w14:paraId="26AE5D51" w14:textId="77777777">
        <w:trPr>
          <w:trHeight w:val="97"/>
        </w:trPr>
        <w:tc>
          <w:tcPr>
            <w:tcW w:w="3434" w:type="dxa"/>
            <w:tcBorders>
              <w:top w:val="single" w:color="auto" w:sz="4" w:space="0"/>
              <w:bottom w:val="single" w:color="auto" w:sz="4" w:space="0"/>
              <w:right w:val="single" w:color="auto" w:sz="4" w:space="0"/>
            </w:tcBorders>
            <w:shd w:val="clear" w:color="auto" w:fill="D9D9D9" w:themeFill="background1" w:themeFillShade="D9"/>
            <w:vAlign w:val="center"/>
          </w:tcPr>
          <w:p w:rsidRPr="008C703D" w:rsidR="0059316B" w:rsidP="002264B8" w:rsidRDefault="00A55DB6" w14:paraId="48B21D1B" w14:textId="77777777">
            <w:pPr>
              <w:pStyle w:val="Ttulo2"/>
              <w:ind w:right="72"/>
              <w:jc w:val="left"/>
              <w:rPr>
                <w:rFonts w:cs="Arial"/>
                <w:bCs/>
                <w:sz w:val="22"/>
                <w:szCs w:val="22"/>
              </w:rPr>
            </w:pPr>
            <w:r w:rsidRPr="008C703D">
              <w:rPr>
                <w:rFonts w:cs="Arial"/>
                <w:bCs/>
                <w:sz w:val="22"/>
                <w:szCs w:val="22"/>
              </w:rPr>
              <w:t xml:space="preserve">Proyecto de </w:t>
            </w:r>
            <w:r w:rsidRPr="008C703D" w:rsidR="00587695">
              <w:rPr>
                <w:rFonts w:cs="Arial"/>
                <w:bCs/>
                <w:sz w:val="22"/>
                <w:szCs w:val="22"/>
              </w:rPr>
              <w:t>D</w:t>
            </w:r>
            <w:r w:rsidRPr="008C703D">
              <w:rPr>
                <w:rFonts w:cs="Arial"/>
                <w:bCs/>
                <w:sz w:val="22"/>
                <w:szCs w:val="22"/>
              </w:rPr>
              <w:t>ecreto</w:t>
            </w:r>
            <w:r w:rsidRPr="008C703D" w:rsidR="00795C6B">
              <w:rPr>
                <w:rFonts w:cs="Arial"/>
                <w:bCs/>
                <w:sz w:val="22"/>
                <w:szCs w:val="22"/>
              </w:rPr>
              <w:t>/Resolución</w:t>
            </w:r>
            <w:r w:rsidRPr="008C703D" w:rsidR="00293F29">
              <w:rPr>
                <w:rFonts w:cs="Arial"/>
                <w:bCs/>
                <w:sz w:val="22"/>
                <w:szCs w:val="22"/>
              </w:rPr>
              <w:t>:</w:t>
            </w:r>
          </w:p>
        </w:tc>
        <w:tc>
          <w:tcPr>
            <w:tcW w:w="7340" w:type="dxa"/>
            <w:gridSpan w:val="2"/>
            <w:tcBorders>
              <w:top w:val="single" w:color="auto" w:sz="4" w:space="0"/>
              <w:left w:val="single" w:color="auto" w:sz="4" w:space="0"/>
              <w:bottom w:val="single" w:color="auto" w:sz="4" w:space="0"/>
            </w:tcBorders>
            <w:shd w:val="clear" w:color="auto" w:fill="FFFFFF" w:themeFill="background1"/>
            <w:vAlign w:val="center"/>
          </w:tcPr>
          <w:p w:rsidRPr="009F7CED" w:rsidR="001F238A" w:rsidP="620B8672" w:rsidRDefault="00632953" w14:paraId="74136248" w14:textId="2157A4E3">
            <w:pPr>
              <w:pStyle w:val="Ttulo2"/>
              <w:ind w:left="72" w:right="72"/>
              <w:jc w:val="both"/>
              <w:rPr>
                <w:rFonts w:cs="Arial"/>
                <w:b w:val="0"/>
                <w:i/>
                <w:iCs/>
                <w:color w:val="808080" w:themeColor="background1" w:themeShade="80"/>
                <w:spacing w:val="-3"/>
                <w:sz w:val="22"/>
                <w:szCs w:val="22"/>
              </w:rPr>
            </w:pPr>
            <w:r w:rsidRPr="620B8672">
              <w:rPr>
                <w:rFonts w:cs="Arial"/>
                <w:b w:val="0"/>
                <w:i/>
                <w:iCs/>
                <w:color w:val="808080" w:themeColor="background1" w:themeShade="80"/>
                <w:sz w:val="22"/>
                <w:szCs w:val="22"/>
              </w:rPr>
              <w:t>“Por la cual se actualiza</w:t>
            </w:r>
            <w:r w:rsidRPr="620B8672" w:rsidR="1E5A1D5B">
              <w:rPr>
                <w:rFonts w:cs="Arial"/>
                <w:b w:val="0"/>
                <w:i/>
                <w:iCs/>
                <w:color w:val="808080" w:themeColor="background1" w:themeShade="80"/>
                <w:sz w:val="22"/>
                <w:szCs w:val="22"/>
              </w:rPr>
              <w:t>n</w:t>
            </w:r>
            <w:r w:rsidRPr="620B8672">
              <w:rPr>
                <w:rFonts w:cs="Arial"/>
                <w:b w:val="0"/>
                <w:i/>
                <w:iCs/>
                <w:color w:val="808080" w:themeColor="background1" w:themeShade="80"/>
                <w:sz w:val="22"/>
                <w:szCs w:val="22"/>
              </w:rPr>
              <w:t xml:space="preserve"> la</w:t>
            </w:r>
            <w:r w:rsidRPr="620B8672" w:rsidR="781F3F63">
              <w:rPr>
                <w:rFonts w:cs="Arial"/>
                <w:b w:val="0"/>
                <w:i/>
                <w:iCs/>
                <w:color w:val="808080" w:themeColor="background1" w:themeShade="80"/>
                <w:sz w:val="22"/>
                <w:szCs w:val="22"/>
              </w:rPr>
              <w:t>s</w:t>
            </w:r>
            <w:r w:rsidRPr="620B8672">
              <w:rPr>
                <w:rFonts w:cs="Arial"/>
                <w:b w:val="0"/>
                <w:i/>
                <w:iCs/>
                <w:color w:val="808080" w:themeColor="background1" w:themeShade="80"/>
                <w:sz w:val="22"/>
                <w:szCs w:val="22"/>
              </w:rPr>
              <w:t xml:space="preserve"> tarifa</w:t>
            </w:r>
            <w:r w:rsidRPr="620B8672" w:rsidR="2DE4FD4D">
              <w:rPr>
                <w:rFonts w:cs="Arial"/>
                <w:b w:val="0"/>
                <w:i/>
                <w:iCs/>
                <w:color w:val="808080" w:themeColor="background1" w:themeShade="80"/>
                <w:sz w:val="22"/>
                <w:szCs w:val="22"/>
              </w:rPr>
              <w:t>s</w:t>
            </w:r>
            <w:r w:rsidRPr="620B8672">
              <w:rPr>
                <w:rFonts w:cs="Arial"/>
                <w:b w:val="0"/>
                <w:i/>
                <w:iCs/>
                <w:color w:val="808080" w:themeColor="background1" w:themeShade="80"/>
                <w:sz w:val="22"/>
                <w:szCs w:val="22"/>
              </w:rPr>
              <w:t xml:space="preserve"> por el uso de las frecuencias asignadas a </w:t>
            </w:r>
            <w:r w:rsidRPr="620B8672" w:rsidR="7E11F7E8">
              <w:rPr>
                <w:rFonts w:cs="Arial"/>
                <w:b w:val="0"/>
                <w:i/>
                <w:iCs/>
                <w:color w:val="808080" w:themeColor="background1" w:themeShade="80"/>
                <w:sz w:val="22"/>
                <w:szCs w:val="22"/>
              </w:rPr>
              <w:t xml:space="preserve">los </w:t>
            </w:r>
            <w:r w:rsidRPr="620B8672">
              <w:rPr>
                <w:rFonts w:cs="Arial"/>
                <w:b w:val="0"/>
                <w:i/>
                <w:iCs/>
                <w:color w:val="808080" w:themeColor="background1" w:themeShade="80"/>
                <w:sz w:val="22"/>
                <w:szCs w:val="22"/>
              </w:rPr>
              <w:t>canales nacionales de operación privada y a las estaciones locales con y sin ánimo de lucro, establecida</w:t>
            </w:r>
            <w:r w:rsidRPr="620B8672" w:rsidR="6C293B6F">
              <w:rPr>
                <w:rFonts w:cs="Arial"/>
                <w:b w:val="0"/>
                <w:i/>
                <w:iCs/>
                <w:color w:val="808080" w:themeColor="background1" w:themeShade="80"/>
                <w:sz w:val="22"/>
                <w:szCs w:val="22"/>
              </w:rPr>
              <w:t>s</w:t>
            </w:r>
            <w:r w:rsidRPr="620B8672">
              <w:rPr>
                <w:rFonts w:cs="Arial"/>
                <w:b w:val="0"/>
                <w:i/>
                <w:iCs/>
                <w:color w:val="808080" w:themeColor="background1" w:themeShade="80"/>
                <w:sz w:val="22"/>
                <w:szCs w:val="22"/>
              </w:rPr>
              <w:t xml:space="preserve"> en las Resoluciones CNTV 429 de 1997 y 111 de 1998, para el año 2026”</w:t>
            </w:r>
          </w:p>
        </w:tc>
      </w:tr>
      <w:tr w:rsidRPr="009F7CED" w:rsidR="00DF60FD" w:rsidTr="620B8672" w14:paraId="421EB457" w14:textId="77777777">
        <w:trPr>
          <w:trHeight w:val="674"/>
        </w:trPr>
        <w:tc>
          <w:tcPr>
            <w:tcW w:w="10774" w:type="dxa"/>
            <w:gridSpan w:val="3"/>
            <w:tcBorders>
              <w:top w:val="single" w:color="auto" w:sz="4" w:space="0"/>
            </w:tcBorders>
            <w:shd w:val="clear" w:color="auto" w:fill="FFFFFF" w:themeFill="background1"/>
            <w:vAlign w:val="center"/>
          </w:tcPr>
          <w:p w:rsidR="006315B4" w:rsidP="0075705D" w:rsidRDefault="006315B4" w14:paraId="0A3EBB54" w14:textId="77777777">
            <w:pPr>
              <w:autoSpaceDE w:val="0"/>
              <w:autoSpaceDN w:val="0"/>
              <w:adjustRightInd w:val="0"/>
              <w:jc w:val="both"/>
              <w:rPr>
                <w:rFonts w:eastAsia="Calibri" w:cs="Arial"/>
                <w:sz w:val="22"/>
                <w:szCs w:val="22"/>
                <w:lang w:val="es-CO" w:eastAsia="en-US"/>
              </w:rPr>
            </w:pPr>
          </w:p>
          <w:p w:rsidRPr="009F7CED" w:rsidR="008448CA" w:rsidP="0075705D" w:rsidRDefault="008448CA" w14:paraId="0E2DF657" w14:textId="77777777">
            <w:pPr>
              <w:autoSpaceDE w:val="0"/>
              <w:autoSpaceDN w:val="0"/>
              <w:adjustRightInd w:val="0"/>
              <w:jc w:val="both"/>
              <w:rPr>
                <w:rFonts w:eastAsia="Calibri" w:cs="Arial"/>
                <w:sz w:val="22"/>
                <w:szCs w:val="22"/>
                <w:lang w:val="es-CO" w:eastAsia="en-US"/>
              </w:rPr>
            </w:pPr>
          </w:p>
          <w:p w:rsidRPr="00AD21C1" w:rsidR="0095690D" w:rsidP="00AD21C1" w:rsidRDefault="0095690D" w14:paraId="23A54342" w14:textId="0D51BB8F">
            <w:pPr>
              <w:pStyle w:val="Prrafodelista"/>
              <w:numPr>
                <w:ilvl w:val="0"/>
                <w:numId w:val="46"/>
              </w:numPr>
              <w:rPr>
                <w:rFonts w:cs="Arial"/>
                <w:b/>
                <w:color w:val="000000"/>
                <w:sz w:val="22"/>
                <w:szCs w:val="22"/>
                <w:lang w:val="es-CO"/>
              </w:rPr>
            </w:pPr>
            <w:r w:rsidRPr="00AD21C1">
              <w:rPr>
                <w:rFonts w:cs="Arial"/>
                <w:b/>
                <w:color w:val="000000"/>
                <w:sz w:val="22"/>
                <w:szCs w:val="22"/>
                <w:lang w:val="es-CO"/>
              </w:rPr>
              <w:t>ANTECEDENTES Y RAZONES DE OPORTUNIDAD Y CONVENIENCIA QUE JUSTIFICAN SU EXPEDICIÓN.</w:t>
            </w:r>
          </w:p>
          <w:p w:rsidR="00632953" w:rsidP="0075705D" w:rsidRDefault="00632953" w14:paraId="48896D23" w14:textId="77777777">
            <w:pPr>
              <w:pStyle w:val="Listavistosa-nfasis11"/>
              <w:spacing w:line="240" w:lineRule="auto"/>
              <w:ind w:left="494"/>
              <w:jc w:val="both"/>
              <w:rPr>
                <w:rFonts w:ascii="Arial" w:hAnsi="Arial" w:cs="Arial"/>
                <w:i/>
                <w:color w:val="808080"/>
                <w:sz w:val="18"/>
              </w:rPr>
            </w:pPr>
          </w:p>
          <w:p w:rsidR="00795C6B" w:rsidP="620B8672" w:rsidRDefault="00632953" w14:paraId="1612083B" w14:textId="10BDAE43">
            <w:pPr>
              <w:pStyle w:val="Listavistosa-nfasis11"/>
              <w:spacing w:line="240" w:lineRule="auto"/>
              <w:ind w:left="494" w:right="142"/>
              <w:jc w:val="both"/>
              <w:rPr>
                <w:rFonts w:ascii="Arial" w:hAnsi="Arial" w:cs="Arial"/>
                <w:i/>
                <w:iCs/>
                <w:color w:val="808080"/>
                <w:sz w:val="20"/>
                <w:szCs w:val="20"/>
              </w:rPr>
            </w:pPr>
            <w:r w:rsidRPr="620B8672">
              <w:rPr>
                <w:rFonts w:ascii="Arial" w:hAnsi="Arial" w:eastAsia="Arial Narrow" w:cs="Arial"/>
                <w:sz w:val="20"/>
                <w:szCs w:val="20"/>
                <w:lang w:val="es-ES"/>
              </w:rPr>
              <w:t xml:space="preserve">La extinta Comisión Nacional de Televisión, en adelante CNTV, expidió la Resolución 429 de 1997, </w:t>
            </w:r>
            <w:r w:rsidRPr="620B8672">
              <w:rPr>
                <w:rFonts w:ascii="Arial" w:hAnsi="Arial" w:eastAsia="Arial Narrow" w:cs="Arial"/>
                <w:i/>
                <w:iCs/>
                <w:sz w:val="20"/>
                <w:szCs w:val="20"/>
                <w:lang w:val="es-ES"/>
              </w:rPr>
              <w:t>“Por la cual se fijan las tarifas por asignación y uso de las frecuencias para los canales nacionales de operación privada”</w:t>
            </w:r>
            <w:r w:rsidRPr="620B8672">
              <w:rPr>
                <w:rFonts w:ascii="Arial" w:hAnsi="Arial" w:eastAsia="Arial Narrow" w:cs="Arial"/>
                <w:sz w:val="20"/>
                <w:szCs w:val="20"/>
                <w:lang w:val="es-ES"/>
              </w:rPr>
              <w:t xml:space="preserve">, </w:t>
            </w:r>
            <w:r w:rsidRPr="620B8672" w:rsidR="791FDF27">
              <w:rPr>
                <w:rFonts w:ascii="Arial" w:hAnsi="Arial" w:eastAsia="Arial Narrow" w:cs="Arial"/>
                <w:sz w:val="20"/>
                <w:szCs w:val="20"/>
                <w:lang w:val="es-ES"/>
              </w:rPr>
              <w:t>en la que</w:t>
            </w:r>
            <w:r w:rsidRPr="620B8672">
              <w:rPr>
                <w:rFonts w:ascii="Arial" w:hAnsi="Arial" w:eastAsia="Arial Narrow" w:cs="Arial"/>
                <w:sz w:val="20"/>
                <w:szCs w:val="20"/>
                <w:lang w:val="es-ES"/>
              </w:rPr>
              <w:t xml:space="preserve"> se estableció el valor de las tarifas por las frecuencias VHF y UHF, así como el esquema de reajuste anual, señalando en su artículo 2, que:</w:t>
            </w:r>
            <w:r w:rsidRPr="620B8672" w:rsidR="00795C6B">
              <w:rPr>
                <w:rFonts w:ascii="Arial" w:hAnsi="Arial" w:cs="Arial"/>
                <w:i/>
                <w:iCs/>
                <w:color w:val="808080" w:themeColor="background1" w:themeShade="80"/>
                <w:sz w:val="20"/>
                <w:szCs w:val="20"/>
              </w:rPr>
              <w:t xml:space="preserve"> </w:t>
            </w:r>
          </w:p>
          <w:p w:rsidRPr="00632953" w:rsidR="00632953" w:rsidP="00632953" w:rsidRDefault="00632953" w14:paraId="6FD7AAFC" w14:textId="77777777">
            <w:pPr>
              <w:pStyle w:val="Listavistosa-nfasis11"/>
              <w:spacing w:after="0" w:line="240" w:lineRule="auto"/>
              <w:ind w:left="494"/>
              <w:jc w:val="both"/>
              <w:rPr>
                <w:rFonts w:ascii="Arial" w:hAnsi="Arial" w:cs="Arial"/>
                <w:i/>
                <w:color w:val="808080"/>
                <w:sz w:val="20"/>
                <w:szCs w:val="20"/>
              </w:rPr>
            </w:pPr>
          </w:p>
          <w:p w:rsidRPr="00632953" w:rsidR="00632953" w:rsidP="00632953" w:rsidRDefault="00632953" w14:paraId="4369CF7D" w14:textId="3F91003E">
            <w:pPr>
              <w:ind w:left="840"/>
              <w:rPr>
                <w:rFonts w:cs="Arial"/>
              </w:rPr>
            </w:pPr>
            <w:r w:rsidRPr="00632953">
              <w:rPr>
                <w:rFonts w:cs="Arial"/>
                <w:i/>
              </w:rPr>
              <w:t>“L</w:t>
            </w:r>
            <w:r w:rsidRPr="00632953">
              <w:rPr>
                <w:rFonts w:cs="Arial"/>
                <w:i/>
                <w:color w:val="000000"/>
              </w:rPr>
              <w:t>as tarifas de que trata el artículo anterior serán reajustadas anualmente durante el término de ejecución de los contratos de concesión (…)</w:t>
            </w:r>
            <w:r w:rsidRPr="00632953">
              <w:rPr>
                <w:rFonts w:cs="Arial"/>
                <w:i/>
              </w:rPr>
              <w:t>.</w:t>
            </w:r>
          </w:p>
          <w:p w:rsidRPr="00632953" w:rsidR="00632953" w:rsidP="00632953" w:rsidRDefault="00632953" w14:paraId="538280E2" w14:textId="77777777">
            <w:pPr>
              <w:pStyle w:val="Listavistosa-nfasis11"/>
              <w:spacing w:line="240" w:lineRule="auto"/>
              <w:ind w:left="840" w:right="142"/>
              <w:jc w:val="both"/>
              <w:rPr>
                <w:rFonts w:ascii="Arial" w:hAnsi="Arial" w:cs="Arial"/>
                <w:i/>
                <w:color w:val="808080"/>
                <w:sz w:val="20"/>
                <w:szCs w:val="20"/>
                <w:lang w:val="es-ES"/>
              </w:rPr>
            </w:pPr>
          </w:p>
          <w:p w:rsidR="00632953" w:rsidP="00632953" w:rsidRDefault="00632953" w14:paraId="4169A3AA" w14:textId="309269A6">
            <w:pPr>
              <w:pStyle w:val="Listavistosa-nfasis11"/>
              <w:spacing w:line="240" w:lineRule="auto"/>
              <w:ind w:left="840" w:right="142"/>
              <w:jc w:val="both"/>
              <w:rPr>
                <w:rFonts w:ascii="Arial" w:hAnsi="Arial" w:cs="Arial"/>
                <w:i/>
                <w:sz w:val="20"/>
                <w:szCs w:val="20"/>
              </w:rPr>
            </w:pPr>
            <w:r w:rsidRPr="00632953">
              <w:rPr>
                <w:rFonts w:ascii="Arial" w:hAnsi="Arial" w:cs="Arial"/>
                <w:i/>
                <w:sz w:val="20"/>
                <w:szCs w:val="20"/>
              </w:rPr>
              <w:t>El reajuste de las tarifas no podrá ser inferior al índice de precios del consumidor que certifique el Departamento Nacional de Estadísticas - DANE, anualmente”.</w:t>
            </w:r>
          </w:p>
          <w:p w:rsidRPr="00632953" w:rsidR="00632953" w:rsidP="008448CA" w:rsidRDefault="00632953" w14:paraId="3B211E6E" w14:textId="77777777">
            <w:pPr>
              <w:pStyle w:val="Listavistosa-nfasis11"/>
              <w:spacing w:after="0" w:line="240" w:lineRule="auto"/>
              <w:ind w:left="556" w:right="142"/>
              <w:jc w:val="both"/>
              <w:rPr>
                <w:rFonts w:ascii="Arial" w:hAnsi="Arial" w:cs="Arial"/>
                <w:i/>
                <w:sz w:val="20"/>
                <w:szCs w:val="20"/>
              </w:rPr>
            </w:pPr>
          </w:p>
          <w:p w:rsidR="008448CA" w:rsidP="008448CA" w:rsidRDefault="008448CA" w14:paraId="63A9BE14" w14:textId="77777777">
            <w:pPr>
              <w:pStyle w:val="Prrafodelista"/>
              <w:ind w:left="569"/>
              <w:jc w:val="both"/>
              <w:rPr>
                <w:rFonts w:eastAsia="Arial Narrow" w:cs="Arial"/>
                <w:lang w:eastAsia="es-CO"/>
              </w:rPr>
            </w:pPr>
          </w:p>
          <w:p w:rsidRPr="00592CED" w:rsidR="008448CA" w:rsidP="008448CA" w:rsidRDefault="008448CA" w14:paraId="7F1AD60B" w14:textId="14503263">
            <w:pPr>
              <w:pStyle w:val="Prrafodelista"/>
              <w:ind w:left="569"/>
              <w:jc w:val="both"/>
              <w:rPr>
                <w:rFonts w:eastAsia="Arial Narrow" w:cs="Arial"/>
                <w:lang w:eastAsia="es-CO"/>
              </w:rPr>
            </w:pPr>
            <w:r w:rsidRPr="00592CED">
              <w:rPr>
                <w:rFonts w:eastAsia="Arial Narrow" w:cs="Arial"/>
                <w:lang w:eastAsia="es-CO"/>
              </w:rPr>
              <w:t xml:space="preserve">A su vez, el artículo 3 de la mencionada Resolución 429 de 1997, determina las fechas en las que los Concesionarios de Canales Nacionales de Operación Privada deberán pagar las tarifas anuales por concepto de las frecuencias asignadas, así: </w:t>
            </w:r>
          </w:p>
          <w:p w:rsidRPr="00346B6F" w:rsidR="008448CA" w:rsidP="008448CA" w:rsidRDefault="008448CA" w14:paraId="43927236" w14:textId="77777777">
            <w:pPr>
              <w:pStyle w:val="Prrafodelista"/>
              <w:ind w:left="0"/>
              <w:jc w:val="both"/>
              <w:rPr>
                <w:rFonts w:cs="Arial"/>
                <w:i/>
                <w:lang w:val="es-ES_tradnl"/>
              </w:rPr>
            </w:pPr>
          </w:p>
          <w:p w:rsidR="008448CA" w:rsidP="008448CA" w:rsidRDefault="008448CA" w14:paraId="24082464" w14:textId="6434522A">
            <w:pPr>
              <w:pStyle w:val="Listavistosa-nfasis11"/>
              <w:spacing w:after="0" w:line="240" w:lineRule="auto"/>
              <w:ind w:left="840" w:right="142"/>
              <w:jc w:val="both"/>
              <w:rPr>
                <w:rFonts w:ascii="Arial" w:hAnsi="Arial" w:eastAsia="Arial Narrow" w:cs="Arial"/>
                <w:sz w:val="20"/>
                <w:szCs w:val="20"/>
                <w:lang w:val="es-ES"/>
              </w:rPr>
            </w:pPr>
            <w:r w:rsidRPr="00346B6F">
              <w:rPr>
                <w:rFonts w:ascii="Arial" w:hAnsi="Arial" w:cs="Arial"/>
                <w:i/>
                <w:sz w:val="20"/>
                <w:szCs w:val="20"/>
              </w:rPr>
              <w:t>“ARTÍCULO 3°. Los Concesionarios de Canales Nacionales de Operación Privada pagarán anualmente a la Comisión Nacional de Televisión, la suma liquidada a 31 de diciembre de cada año. Dicha suma deberá ser cancelada antes del 15 de enero del año siguiente al periodo causado”</w:t>
            </w:r>
            <w:r w:rsidRPr="00346B6F">
              <w:rPr>
                <w:rFonts w:ascii="Arial" w:hAnsi="Arial" w:cs="Arial"/>
                <w:i/>
              </w:rPr>
              <w:t>.</w:t>
            </w:r>
          </w:p>
          <w:p w:rsidR="008448CA" w:rsidP="008448CA" w:rsidRDefault="008448CA" w14:paraId="207A38F9" w14:textId="77777777">
            <w:pPr>
              <w:pStyle w:val="Listavistosa-nfasis11"/>
              <w:spacing w:line="240" w:lineRule="auto"/>
              <w:ind w:left="0" w:right="142"/>
              <w:jc w:val="both"/>
              <w:rPr>
                <w:rFonts w:ascii="Arial" w:hAnsi="Arial" w:eastAsia="Arial Narrow" w:cs="Arial"/>
                <w:sz w:val="20"/>
                <w:szCs w:val="20"/>
                <w:lang w:val="es-ES"/>
              </w:rPr>
            </w:pPr>
          </w:p>
          <w:p w:rsidR="008448CA" w:rsidP="00632953" w:rsidRDefault="008448CA" w14:paraId="20EA9A13" w14:textId="77777777">
            <w:pPr>
              <w:pStyle w:val="Listavistosa-nfasis11"/>
              <w:spacing w:line="240" w:lineRule="auto"/>
              <w:ind w:left="556" w:right="142"/>
              <w:jc w:val="both"/>
              <w:rPr>
                <w:rFonts w:ascii="Arial" w:hAnsi="Arial" w:eastAsia="Arial Narrow" w:cs="Arial"/>
                <w:sz w:val="20"/>
                <w:szCs w:val="20"/>
                <w:lang w:val="es-ES"/>
              </w:rPr>
            </w:pPr>
          </w:p>
          <w:p w:rsidR="00632953" w:rsidP="00632953" w:rsidRDefault="008448CA" w14:paraId="1AE0F4BD" w14:textId="01EDF55D">
            <w:pPr>
              <w:pStyle w:val="Listavistosa-nfasis11"/>
              <w:spacing w:line="240" w:lineRule="auto"/>
              <w:ind w:left="556" w:right="142"/>
              <w:jc w:val="both"/>
              <w:rPr>
                <w:rFonts w:ascii="Arial" w:hAnsi="Arial" w:eastAsia="Arial Narrow" w:cs="Arial"/>
                <w:sz w:val="20"/>
                <w:szCs w:val="20"/>
                <w:lang w:val="es-ES"/>
              </w:rPr>
            </w:pPr>
            <w:r>
              <w:rPr>
                <w:rFonts w:ascii="Arial" w:hAnsi="Arial" w:eastAsia="Arial Narrow" w:cs="Arial"/>
                <w:sz w:val="20"/>
                <w:szCs w:val="20"/>
                <w:lang w:val="es-ES"/>
              </w:rPr>
              <w:t>Por otra parte</w:t>
            </w:r>
            <w:r w:rsidRPr="00632953" w:rsidR="00632953">
              <w:rPr>
                <w:rFonts w:ascii="Arial" w:hAnsi="Arial" w:eastAsia="Arial Narrow" w:cs="Arial"/>
                <w:sz w:val="20"/>
                <w:szCs w:val="20"/>
                <w:lang w:val="es-ES"/>
              </w:rPr>
              <w:t xml:space="preserve">, la </w:t>
            </w:r>
            <w:r>
              <w:rPr>
                <w:rFonts w:ascii="Arial" w:hAnsi="Arial" w:eastAsia="Arial Narrow" w:cs="Arial"/>
                <w:sz w:val="20"/>
                <w:szCs w:val="20"/>
                <w:lang w:val="es-ES"/>
              </w:rPr>
              <w:t xml:space="preserve">extinta </w:t>
            </w:r>
            <w:r w:rsidRPr="00632953" w:rsidR="00632953">
              <w:rPr>
                <w:rFonts w:ascii="Arial" w:hAnsi="Arial" w:eastAsia="Arial Narrow" w:cs="Arial"/>
                <w:sz w:val="20"/>
                <w:szCs w:val="20"/>
                <w:lang w:val="es-ES"/>
              </w:rPr>
              <w:t xml:space="preserve">CNTV </w:t>
            </w:r>
            <w:r>
              <w:rPr>
                <w:rFonts w:ascii="Arial" w:hAnsi="Arial" w:eastAsia="Arial Narrow" w:cs="Arial"/>
                <w:sz w:val="20"/>
                <w:szCs w:val="20"/>
                <w:lang w:val="es-ES"/>
              </w:rPr>
              <w:t>expidió</w:t>
            </w:r>
            <w:r w:rsidRPr="00632953" w:rsidR="00632953">
              <w:rPr>
                <w:rFonts w:ascii="Arial" w:hAnsi="Arial" w:eastAsia="Arial Narrow" w:cs="Arial"/>
                <w:sz w:val="20"/>
                <w:szCs w:val="20"/>
                <w:lang w:val="es-ES"/>
              </w:rPr>
              <w:t xml:space="preserve"> la Resolución 111 de 1998,</w:t>
            </w:r>
            <w:r>
              <w:rPr>
                <w:rFonts w:ascii="Arial" w:hAnsi="Arial" w:eastAsia="Arial Narrow" w:cs="Arial"/>
                <w:sz w:val="20"/>
                <w:szCs w:val="20"/>
                <w:lang w:val="es-ES"/>
              </w:rPr>
              <w:t xml:space="preserve"> mediante la cual</w:t>
            </w:r>
            <w:r w:rsidRPr="00632953" w:rsidR="00632953">
              <w:rPr>
                <w:rFonts w:ascii="Arial" w:hAnsi="Arial" w:eastAsia="Arial Narrow" w:cs="Arial"/>
                <w:sz w:val="20"/>
                <w:szCs w:val="20"/>
                <w:lang w:val="es-ES"/>
              </w:rPr>
              <w:t xml:space="preserve"> estableció el valor de las frecuencias VHF y UHF para las estaciones locales con y sin ánimo de lucro, así como el esquema de reajuste anual, disponiendo en su artículo 2, lo siguiente:</w:t>
            </w:r>
          </w:p>
          <w:p w:rsidRPr="00632953" w:rsidR="00632953" w:rsidP="00632953" w:rsidRDefault="00632953" w14:paraId="08FEDF61" w14:textId="77777777">
            <w:pPr>
              <w:pStyle w:val="Listavistosa-nfasis11"/>
              <w:spacing w:line="240" w:lineRule="auto"/>
              <w:ind w:left="698" w:right="142"/>
              <w:jc w:val="both"/>
              <w:rPr>
                <w:rFonts w:ascii="Arial" w:hAnsi="Arial" w:eastAsia="Arial Narrow" w:cs="Arial"/>
                <w:sz w:val="20"/>
                <w:szCs w:val="20"/>
                <w:lang w:val="es-ES"/>
              </w:rPr>
            </w:pPr>
          </w:p>
          <w:p w:rsidR="00632953" w:rsidP="00632953" w:rsidRDefault="00632953" w14:paraId="03B6064C" w14:textId="77777777">
            <w:pPr>
              <w:pStyle w:val="Listavistosa-nfasis11"/>
              <w:spacing w:line="240" w:lineRule="auto"/>
              <w:ind w:left="840" w:right="142"/>
              <w:jc w:val="both"/>
              <w:rPr>
                <w:rFonts w:ascii="Arial" w:hAnsi="Arial" w:cs="Arial"/>
                <w:i/>
                <w:iCs/>
                <w:sz w:val="20"/>
                <w:szCs w:val="20"/>
              </w:rPr>
            </w:pPr>
            <w:r w:rsidRPr="00632953">
              <w:rPr>
                <w:rFonts w:ascii="Arial" w:hAnsi="Arial" w:cs="Arial"/>
                <w:sz w:val="20"/>
                <w:szCs w:val="20"/>
              </w:rPr>
              <w:t>“</w:t>
            </w:r>
            <w:r w:rsidRPr="00632953">
              <w:rPr>
                <w:rFonts w:ascii="Arial" w:hAnsi="Arial" w:cs="Arial"/>
                <w:i/>
                <w:iCs/>
                <w:sz w:val="20"/>
                <w:szCs w:val="20"/>
              </w:rPr>
              <w:t xml:space="preserve">Las tarifas de que trata el artículo anterior serán reajustadas anualmente a partir del 1ro de enero del año siguiente, durante el término de ejecución de la concesión (…) </w:t>
            </w:r>
          </w:p>
          <w:p w:rsidR="00632953" w:rsidP="00632953" w:rsidRDefault="00632953" w14:paraId="4E259C8F" w14:textId="77777777">
            <w:pPr>
              <w:pStyle w:val="Listavistosa-nfasis11"/>
              <w:spacing w:line="240" w:lineRule="auto"/>
              <w:ind w:left="840" w:right="142"/>
              <w:jc w:val="both"/>
              <w:rPr>
                <w:rFonts w:ascii="Arial" w:hAnsi="Arial" w:cs="Arial"/>
                <w:i/>
                <w:iCs/>
                <w:sz w:val="20"/>
                <w:szCs w:val="20"/>
              </w:rPr>
            </w:pPr>
          </w:p>
          <w:p w:rsidR="00632953" w:rsidP="00632953" w:rsidRDefault="00632953" w14:paraId="326CEC9C" w14:textId="791C4F92">
            <w:pPr>
              <w:pStyle w:val="Listavistosa-nfasis11"/>
              <w:spacing w:line="240" w:lineRule="auto"/>
              <w:ind w:left="840" w:right="142"/>
              <w:jc w:val="both"/>
              <w:rPr>
                <w:rFonts w:ascii="Arial" w:hAnsi="Arial" w:cs="Arial"/>
                <w:sz w:val="20"/>
                <w:szCs w:val="20"/>
              </w:rPr>
            </w:pPr>
            <w:r w:rsidRPr="00632953">
              <w:rPr>
                <w:rFonts w:ascii="Arial" w:hAnsi="Arial" w:cs="Arial"/>
                <w:i/>
                <w:iCs/>
                <w:sz w:val="20"/>
                <w:szCs w:val="20"/>
              </w:rPr>
              <w:t>El reajuste de las tarifas no podrá ser inferior al índice de precios del consumidor que certifique el Departamento Nacional de Estadísticas - DANE, anualmente</w:t>
            </w:r>
            <w:r w:rsidRPr="00632953">
              <w:rPr>
                <w:rFonts w:ascii="Arial" w:hAnsi="Arial" w:cs="Arial"/>
                <w:sz w:val="20"/>
                <w:szCs w:val="20"/>
              </w:rPr>
              <w:t>”</w:t>
            </w:r>
          </w:p>
          <w:p w:rsidR="00632953" w:rsidP="00632953" w:rsidRDefault="00632953" w14:paraId="279E7C76" w14:textId="77777777">
            <w:pPr>
              <w:pStyle w:val="Listavistosa-nfasis11"/>
              <w:spacing w:after="0" w:line="240" w:lineRule="auto"/>
              <w:ind w:left="556" w:right="142"/>
              <w:jc w:val="both"/>
              <w:rPr>
                <w:rFonts w:ascii="Arial" w:hAnsi="Arial" w:cs="Arial"/>
                <w:i/>
                <w:color w:val="808080"/>
                <w:sz w:val="20"/>
                <w:szCs w:val="20"/>
                <w:lang w:val="es-ES"/>
              </w:rPr>
            </w:pPr>
          </w:p>
          <w:p w:rsidR="008448CA" w:rsidP="008448CA" w:rsidRDefault="008448CA" w14:paraId="30E9D25A" w14:textId="77777777">
            <w:pPr>
              <w:spacing w:line="276" w:lineRule="auto"/>
              <w:ind w:left="569"/>
              <w:jc w:val="both"/>
              <w:rPr>
                <w:rFonts w:cs="Arial"/>
              </w:rPr>
            </w:pPr>
          </w:p>
          <w:p w:rsidR="008448CA" w:rsidP="008448CA" w:rsidRDefault="008448CA" w14:paraId="00C0FCCF" w14:textId="6325819A">
            <w:pPr>
              <w:spacing w:line="276" w:lineRule="auto"/>
              <w:ind w:left="569"/>
              <w:jc w:val="both"/>
              <w:rPr>
                <w:rFonts w:cs="Arial"/>
              </w:rPr>
            </w:pPr>
            <w:r w:rsidRPr="00346B6F">
              <w:rPr>
                <w:rFonts w:cs="Arial"/>
              </w:rPr>
              <w:t>Así mismo, el artículo 3 de la mencionada Resolución 111 de 1998, determina las fechas en las que los concesionarios de las Estaciones Locales con y sin Ánimo de Lucro deben pagar las tarifas anuales por concepto de las frecuencias asignadas, así:</w:t>
            </w:r>
          </w:p>
          <w:p w:rsidR="008448CA" w:rsidP="008448CA" w:rsidRDefault="008448CA" w14:paraId="798A8A0B" w14:textId="77777777">
            <w:pPr>
              <w:spacing w:line="276" w:lineRule="auto"/>
              <w:ind w:left="569"/>
              <w:jc w:val="both"/>
              <w:rPr>
                <w:rFonts w:cs="Arial"/>
              </w:rPr>
            </w:pPr>
          </w:p>
          <w:p w:rsidR="008448CA" w:rsidP="008448CA" w:rsidRDefault="008448CA" w14:paraId="375DECD0" w14:textId="77777777">
            <w:pPr>
              <w:spacing w:line="276" w:lineRule="auto"/>
              <w:ind w:left="982"/>
              <w:rPr>
                <w:rFonts w:cs="Arial"/>
                <w:i/>
                <w:iCs/>
              </w:rPr>
            </w:pPr>
            <w:r w:rsidRPr="00346B6F">
              <w:rPr>
                <w:rFonts w:cs="Arial"/>
                <w:i/>
                <w:iCs/>
              </w:rPr>
              <w:t>“Los concesionarios de Estaciones Locales pagarán a la Comisión Nacional de Televisión la suma liquidada, en cuotas semestrales iguales en las siguientes fechas:</w:t>
            </w:r>
          </w:p>
          <w:p w:rsidR="008448CA" w:rsidP="008448CA" w:rsidRDefault="008448CA" w14:paraId="12D9F0A6" w14:textId="77777777">
            <w:pPr>
              <w:spacing w:line="276" w:lineRule="auto"/>
              <w:ind w:left="982"/>
              <w:rPr>
                <w:rFonts w:cs="Arial"/>
                <w:i/>
                <w:iCs/>
              </w:rPr>
            </w:pPr>
          </w:p>
          <w:p w:rsidRPr="00346B6F" w:rsidR="008448CA" w:rsidP="008448CA" w:rsidRDefault="008448CA" w14:paraId="64A5856D" w14:textId="77777777">
            <w:pPr>
              <w:spacing w:line="276" w:lineRule="auto"/>
              <w:ind w:left="982"/>
              <w:rPr>
                <w:rFonts w:cs="Arial"/>
                <w:i/>
                <w:iCs/>
              </w:rPr>
            </w:pPr>
          </w:p>
          <w:tbl>
            <w:tblPr>
              <w:tblW w:w="2861" w:type="pct"/>
              <w:tblCellSpacing w:w="15" w:type="dxa"/>
              <w:tblInd w:w="1560" w:type="dxa"/>
              <w:tblCellMar>
                <w:top w:w="15" w:type="dxa"/>
                <w:left w:w="15" w:type="dxa"/>
                <w:bottom w:w="15" w:type="dxa"/>
                <w:right w:w="15" w:type="dxa"/>
              </w:tblCellMar>
              <w:tblLook w:val="04A0" w:firstRow="1" w:lastRow="0" w:firstColumn="1" w:lastColumn="0" w:noHBand="0" w:noVBand="1"/>
            </w:tblPr>
            <w:tblGrid>
              <w:gridCol w:w="3098"/>
              <w:gridCol w:w="2975"/>
            </w:tblGrid>
            <w:tr w:rsidRPr="00592CED" w:rsidR="008448CA" w:rsidTr="008448CA" w14:paraId="201A3421" w14:textId="77777777">
              <w:trPr>
                <w:trHeight w:val="293"/>
                <w:tblCellSpacing w:w="15" w:type="dxa"/>
              </w:trPr>
              <w:tc>
                <w:tcPr>
                  <w:tcW w:w="25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2952B0B2" w14:textId="77777777">
                  <w:pPr>
                    <w:spacing w:line="276" w:lineRule="auto"/>
                    <w:jc w:val="center"/>
                    <w:rPr>
                      <w:rFonts w:cs="Arial"/>
                      <w:b/>
                      <w:bCs/>
                      <w:i/>
                      <w:iCs/>
                    </w:rPr>
                  </w:pPr>
                  <w:r w:rsidRPr="00346B6F">
                    <w:rPr>
                      <w:rFonts w:cs="Arial"/>
                      <w:b/>
                      <w:bCs/>
                      <w:i/>
                      <w:iCs/>
                    </w:rPr>
                    <w:t>CAUSADOS ENTRE</w:t>
                  </w:r>
                </w:p>
              </w:tc>
              <w:tc>
                <w:tcPr>
                  <w:tcW w:w="24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64515AED" w14:textId="77777777">
                  <w:pPr>
                    <w:spacing w:line="276" w:lineRule="auto"/>
                    <w:jc w:val="center"/>
                    <w:rPr>
                      <w:rFonts w:cs="Arial"/>
                      <w:b/>
                      <w:bCs/>
                      <w:i/>
                      <w:iCs/>
                    </w:rPr>
                  </w:pPr>
                  <w:r w:rsidRPr="00346B6F">
                    <w:rPr>
                      <w:rFonts w:cs="Arial"/>
                      <w:b/>
                      <w:bCs/>
                      <w:i/>
                      <w:iCs/>
                    </w:rPr>
                    <w:t>ANTES DE</w:t>
                  </w:r>
                </w:p>
              </w:tc>
            </w:tr>
            <w:tr w:rsidRPr="00592CED" w:rsidR="008448CA" w:rsidTr="008448CA" w14:paraId="6EEE5D39" w14:textId="77777777">
              <w:trPr>
                <w:trHeight w:val="280"/>
                <w:tblCellSpacing w:w="15" w:type="dxa"/>
              </w:trPr>
              <w:tc>
                <w:tcPr>
                  <w:tcW w:w="25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284E9D66" w14:textId="77777777">
                  <w:pPr>
                    <w:spacing w:line="276" w:lineRule="auto"/>
                    <w:rPr>
                      <w:rFonts w:cs="Arial"/>
                      <w:i/>
                      <w:iCs/>
                    </w:rPr>
                  </w:pPr>
                  <w:r w:rsidRPr="00346B6F">
                    <w:rPr>
                      <w:rFonts w:cs="Arial"/>
                      <w:i/>
                      <w:iCs/>
                    </w:rPr>
                    <w:t>1 DE ENERO Y EL 31 DE JUNIO</w:t>
                  </w:r>
                </w:p>
              </w:tc>
              <w:tc>
                <w:tcPr>
                  <w:tcW w:w="24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6AF90980" w14:textId="77777777">
                  <w:pPr>
                    <w:spacing w:line="276" w:lineRule="auto"/>
                    <w:rPr>
                      <w:rFonts w:cs="Arial"/>
                      <w:i/>
                      <w:iCs/>
                    </w:rPr>
                  </w:pPr>
                  <w:r w:rsidRPr="00346B6F">
                    <w:rPr>
                      <w:rFonts w:cs="Arial"/>
                      <w:i/>
                      <w:iCs/>
                    </w:rPr>
                    <w:t>ANTES DEL 15 DE AGOSTO</w:t>
                  </w:r>
                </w:p>
              </w:tc>
            </w:tr>
            <w:tr w:rsidRPr="00592CED" w:rsidR="008448CA" w:rsidTr="008448CA" w14:paraId="29716B0D" w14:textId="77777777">
              <w:trPr>
                <w:trHeight w:val="587"/>
                <w:tblCellSpacing w:w="15" w:type="dxa"/>
              </w:trPr>
              <w:tc>
                <w:tcPr>
                  <w:tcW w:w="25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497B38EF" w14:textId="77777777">
                  <w:pPr>
                    <w:spacing w:line="276" w:lineRule="auto"/>
                    <w:rPr>
                      <w:rFonts w:cs="Arial"/>
                      <w:i/>
                      <w:iCs/>
                    </w:rPr>
                  </w:pPr>
                  <w:r w:rsidRPr="00346B6F">
                    <w:rPr>
                      <w:rFonts w:cs="Arial"/>
                      <w:i/>
                      <w:iCs/>
                    </w:rPr>
                    <w:t>ENTRE EL 1 DE JULIO Y 31 DE DICIEMBRE</w:t>
                  </w:r>
                </w:p>
              </w:tc>
              <w:tc>
                <w:tcPr>
                  <w:tcW w:w="2413"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346B6F" w:rsidR="008448CA" w:rsidP="008448CA" w:rsidRDefault="008448CA" w14:paraId="174411F4" w14:textId="77777777">
                  <w:pPr>
                    <w:spacing w:line="276" w:lineRule="auto"/>
                    <w:rPr>
                      <w:rFonts w:cs="Arial"/>
                      <w:i/>
                      <w:iCs/>
                    </w:rPr>
                  </w:pPr>
                  <w:r w:rsidRPr="00346B6F">
                    <w:rPr>
                      <w:rFonts w:cs="Arial"/>
                      <w:i/>
                      <w:iCs/>
                    </w:rPr>
                    <w:t>ANTES DEL 15 DE FEBRERO</w:t>
                  </w:r>
                  <w:r w:rsidRPr="00346B6F">
                    <w:rPr>
                      <w:rFonts w:cs="Arial"/>
                      <w:i/>
                      <w:iCs/>
                    </w:rPr>
                    <w:br/>
                  </w:r>
                  <w:r w:rsidRPr="00346B6F">
                    <w:rPr>
                      <w:rFonts w:cs="Arial"/>
                      <w:i/>
                      <w:iCs/>
                    </w:rPr>
                    <w:t>DEL SIGUIENTE AÑO</w:t>
                  </w:r>
                </w:p>
              </w:tc>
            </w:tr>
          </w:tbl>
          <w:p w:rsidR="008448CA" w:rsidP="008448CA" w:rsidRDefault="008448CA" w14:paraId="3C1169F7" w14:textId="77777777">
            <w:pPr>
              <w:pStyle w:val="Listavistosa-nfasis11"/>
              <w:spacing w:after="0" w:line="240" w:lineRule="auto"/>
              <w:ind w:left="0" w:right="142"/>
              <w:jc w:val="both"/>
              <w:rPr>
                <w:rFonts w:ascii="Arial" w:hAnsi="Arial" w:cs="Arial"/>
                <w:i/>
                <w:color w:val="808080"/>
                <w:sz w:val="20"/>
                <w:szCs w:val="20"/>
                <w:lang w:val="es-ES"/>
              </w:rPr>
            </w:pPr>
          </w:p>
          <w:p w:rsidRPr="00632953" w:rsidR="008448CA" w:rsidP="008448CA" w:rsidRDefault="008448CA" w14:paraId="2476E5B1" w14:textId="77777777">
            <w:pPr>
              <w:pStyle w:val="Listavistosa-nfasis11"/>
              <w:spacing w:after="0" w:line="240" w:lineRule="auto"/>
              <w:ind w:left="0" w:right="142"/>
              <w:jc w:val="both"/>
              <w:rPr>
                <w:rFonts w:ascii="Arial" w:hAnsi="Arial" w:cs="Arial"/>
                <w:i/>
                <w:color w:val="808080"/>
                <w:sz w:val="20"/>
                <w:szCs w:val="20"/>
                <w:lang w:val="es-ES"/>
              </w:rPr>
            </w:pPr>
          </w:p>
          <w:p w:rsidRPr="00632953" w:rsidR="00632953" w:rsidP="00632953" w:rsidRDefault="00632953" w14:paraId="56F54002" w14:textId="77777777">
            <w:pPr>
              <w:ind w:left="556" w:right="142"/>
              <w:jc w:val="both"/>
              <w:rPr>
                <w:rStyle w:val="normaltextrun"/>
                <w:rFonts w:cs="Arial"/>
                <w:color w:val="000000"/>
                <w:shd w:val="clear" w:color="auto" w:fill="FFFFFF"/>
              </w:rPr>
            </w:pPr>
            <w:r w:rsidRPr="00632953">
              <w:rPr>
                <w:rFonts w:cs="Arial"/>
                <w:color w:val="000000"/>
                <w:shd w:val="clear" w:color="auto" w:fill="FFFFFF"/>
              </w:rPr>
              <w:t>Con la expedición de la</w:t>
            </w:r>
            <w:r w:rsidRPr="00632953">
              <w:rPr>
                <w:rStyle w:val="normaltextrun"/>
                <w:rFonts w:cs="Arial"/>
                <w:color w:val="000000"/>
                <w:shd w:val="clear" w:color="auto" w:fill="FFFFFF"/>
              </w:rPr>
              <w:t xml:space="preserve"> Ley 1507 de 2012, </w:t>
            </w:r>
            <w:r w:rsidRPr="00632953">
              <w:rPr>
                <w:rFonts w:cs="Arial"/>
                <w:color w:val="000000"/>
                <w:shd w:val="clear" w:color="auto" w:fill="FFFFFF"/>
              </w:rPr>
              <w:t>“</w:t>
            </w:r>
            <w:r w:rsidRPr="00632953">
              <w:rPr>
                <w:rFonts w:cs="Arial"/>
                <w:i/>
                <w:iCs/>
                <w:color w:val="000000"/>
                <w:shd w:val="clear" w:color="auto" w:fill="FFFFFF"/>
              </w:rPr>
              <w:t>Por la cual se establece la distribución de competencias entre las entidades del Estado en materia de televisión y se dictan otras disposiciones”</w:t>
            </w:r>
            <w:r w:rsidRPr="00632953">
              <w:rPr>
                <w:rFonts w:cs="Arial"/>
                <w:color w:val="000000"/>
                <w:shd w:val="clear" w:color="auto" w:fill="FFFFFF"/>
              </w:rPr>
              <w:t xml:space="preserve">, </w:t>
            </w:r>
            <w:r w:rsidRPr="00632953">
              <w:rPr>
                <w:rStyle w:val="normaltextrun"/>
                <w:rFonts w:cs="Arial"/>
                <w:color w:val="000000"/>
                <w:shd w:val="clear" w:color="auto" w:fill="FFFFFF"/>
              </w:rPr>
              <w:t xml:space="preserve">se ordenó entre otros aspectos, la liquidación de la CNTV </w:t>
            </w:r>
            <w:r w:rsidRPr="00632953">
              <w:rPr>
                <w:rFonts w:cs="Arial"/>
                <w:color w:val="000000"/>
                <w:shd w:val="clear" w:color="auto" w:fill="FFFFFF"/>
              </w:rPr>
              <w:t>y la transferencia de sus funciones a la Autoridad Nacional de Televisión – ANTV, con lo cual se sustituyó a la CNTV en la posición contractual que ésta ocupaba en los contratos de concesión y permisos para la prestación del servicio de televisión.</w:t>
            </w:r>
          </w:p>
          <w:p w:rsidRPr="00632953" w:rsidR="00632953" w:rsidP="00632953" w:rsidRDefault="00632953" w14:paraId="19A57D6C" w14:textId="77777777">
            <w:pPr>
              <w:ind w:left="556" w:right="142"/>
              <w:jc w:val="both"/>
              <w:rPr>
                <w:rStyle w:val="normaltextrun"/>
                <w:rFonts w:cs="Arial"/>
                <w:color w:val="000000"/>
                <w:shd w:val="clear" w:color="auto" w:fill="FFFFFF"/>
              </w:rPr>
            </w:pPr>
          </w:p>
          <w:p w:rsidRPr="00632953" w:rsidR="00632953" w:rsidP="00632953" w:rsidRDefault="00632953" w14:paraId="7CC952E6" w14:textId="61543872">
            <w:pPr>
              <w:ind w:left="556" w:right="142"/>
              <w:jc w:val="both"/>
              <w:rPr>
                <w:rFonts w:cs="Arial"/>
              </w:rPr>
            </w:pPr>
            <w:r w:rsidRPr="00632953">
              <w:rPr>
                <w:rFonts w:cs="Arial"/>
              </w:rPr>
              <w:t xml:space="preserve">A su vez, la Ley 1978 de 2019, </w:t>
            </w:r>
            <w:r w:rsidRPr="00632953">
              <w:rPr>
                <w:rFonts w:cs="Arial"/>
                <w:i/>
                <w:iCs/>
              </w:rPr>
              <w:t xml:space="preserve">“Por la cual se moderniza el sector de las Tecnologías de la Información y las Comunicaciones (TIC), se distribuyen competencias, se crea un regulador único y se dictan otras disposiciones”, </w:t>
            </w:r>
            <w:r w:rsidR="008448CA">
              <w:rPr>
                <w:rFonts w:cs="Arial"/>
              </w:rPr>
              <w:t>dispuso</w:t>
            </w:r>
            <w:r w:rsidRPr="00632953">
              <w:rPr>
                <w:rFonts w:cs="Arial"/>
              </w:rPr>
              <w:t xml:space="preserve"> en sus artículos 39 y 43, la supresión y liquidación de la ANTV, así como la sustitución de la posición contractual, judicial y administrativa por parte del Ministerio de Tecnologías de la Información y las Comunicaciones, entre estos, en los contratos de concesión y los permisos para la prestación del servicio de televisión.</w:t>
            </w:r>
          </w:p>
          <w:p w:rsidRPr="00632953" w:rsidR="00632953" w:rsidP="00632953" w:rsidRDefault="00632953" w14:paraId="527E4A5F" w14:textId="77777777">
            <w:pPr>
              <w:ind w:left="556" w:right="142"/>
              <w:jc w:val="both"/>
              <w:rPr>
                <w:rFonts w:cs="Arial"/>
                <w:i/>
                <w:iCs/>
              </w:rPr>
            </w:pPr>
          </w:p>
          <w:p w:rsidRPr="00632953" w:rsidR="00632953" w:rsidP="00632953" w:rsidRDefault="00632953" w14:paraId="51F8126D" w14:textId="77777777">
            <w:pPr>
              <w:ind w:left="556" w:right="142"/>
              <w:jc w:val="both"/>
              <w:rPr>
                <w:rFonts w:cs="Arial"/>
              </w:rPr>
            </w:pPr>
            <w:r w:rsidRPr="00632953">
              <w:rPr>
                <w:rFonts w:cs="Arial"/>
              </w:rPr>
              <w:t>El literal d) numeral 19 del artículo 18 de la Ley 1341 de 2009, señala que es función del Ministerio de Tecnologías de la Información y las Comunicaciones expedir y administrar las contraprestaciones que le corresponden por Ley.</w:t>
            </w:r>
          </w:p>
          <w:p w:rsidRPr="00632953" w:rsidR="00632953" w:rsidP="00632953" w:rsidRDefault="00632953" w14:paraId="34E7B95D" w14:textId="77777777">
            <w:pPr>
              <w:ind w:left="556" w:right="142"/>
              <w:jc w:val="both"/>
              <w:rPr>
                <w:rFonts w:cs="Arial"/>
              </w:rPr>
            </w:pPr>
          </w:p>
          <w:p w:rsidRPr="00632953" w:rsidR="00632953" w:rsidP="00632953" w:rsidRDefault="00632953" w14:paraId="38BEEF7D" w14:textId="39B3C647">
            <w:pPr>
              <w:ind w:left="556" w:right="142"/>
              <w:jc w:val="both"/>
              <w:rPr>
                <w:rFonts w:cs="Arial"/>
              </w:rPr>
            </w:pPr>
            <w:r w:rsidRPr="620B8672">
              <w:rPr>
                <w:rFonts w:cs="Arial"/>
              </w:rPr>
              <w:t xml:space="preserve">Por su parte, el numeral 24 del artículo 18 de la Ley 1341 de 2009, modificado por el artículo 14 de la Ley 1978 de 2019, establece que le corresponde al Ministerio de Tecnologías de la Información y las Comunicaciones </w:t>
            </w:r>
            <w:r w:rsidRPr="620B8672">
              <w:rPr>
                <w:rFonts w:cs="Arial"/>
                <w:i/>
                <w:iCs/>
              </w:rPr>
              <w:t>“Fijar las tarifas, tasas y derechos, asociados a la concesión</w:t>
            </w:r>
            <w:r w:rsidRPr="620B8672">
              <w:rPr>
                <w:rFonts w:cs="Arial"/>
              </w:rPr>
              <w:t xml:space="preserve">, </w:t>
            </w:r>
            <w:r w:rsidRPr="620B8672">
              <w:rPr>
                <w:rFonts w:cs="Arial"/>
                <w:i/>
                <w:iCs/>
              </w:rPr>
              <w:t>a que se refiere la Ley 182 de 1995”</w:t>
            </w:r>
            <w:r w:rsidRPr="620B8672">
              <w:rPr>
                <w:rFonts w:cs="Arial"/>
              </w:rPr>
              <w:t xml:space="preserve">, por ende, es la </w:t>
            </w:r>
            <w:r w:rsidRPr="620B8672" w:rsidR="0FD27DBD">
              <w:rPr>
                <w:rFonts w:cs="Arial"/>
              </w:rPr>
              <w:t>e</w:t>
            </w:r>
            <w:r w:rsidRPr="620B8672">
              <w:rPr>
                <w:rFonts w:cs="Arial"/>
              </w:rPr>
              <w:t>ntidad competente para actualizar las tarifas establecidas en las Resoluciones CNTV 429 de 1997 y 111 de 1998.</w:t>
            </w:r>
          </w:p>
          <w:p w:rsidRPr="00632953" w:rsidR="00632953" w:rsidP="00632953" w:rsidRDefault="00632953" w14:paraId="0FF66BED" w14:textId="77777777">
            <w:pPr>
              <w:ind w:left="556" w:right="142"/>
              <w:jc w:val="both"/>
              <w:rPr>
                <w:rFonts w:cs="Arial"/>
              </w:rPr>
            </w:pPr>
          </w:p>
          <w:p w:rsidRPr="00632953" w:rsidR="00632953" w:rsidP="00632953" w:rsidRDefault="00632953" w14:paraId="7B970A95" w14:textId="2D078F87">
            <w:pPr>
              <w:ind w:left="556" w:right="142"/>
              <w:jc w:val="both"/>
              <w:rPr>
                <w:rFonts w:cs="Arial"/>
              </w:rPr>
            </w:pPr>
            <w:r w:rsidRPr="00632953">
              <w:rPr>
                <w:rFonts w:cs="Arial"/>
              </w:rPr>
              <w:t>En virtud de lo establecido en las Resoluciones CNTV 429 de 1997 y 111 de 1998, el Ministerio de Tecnologías de la Información y las Comunicaciones, mediante la Resolución 03029 del 24 de julio de 2025, actualizó para el año 2025, las tarifas de las frecuencias asignadas a los canales nacionales de operación privada y a las estaciones locales con y sin ánimo de lucro, para las frecuencias VHF y UHF, teniendo en cuenta el Índice de Precios al Consumidor (IPC) 2024 y se determinó para la frecuencia VHF el valor de cinco millones setecientos sesenta y cuatro mil doscientos noventa y nueve pesos ($5.764.299) y para la frecuencia UHF el valor de cinco millones ciento ochenta y siete mil ochocientos ochenta y cinco pesos ($5.187.885).</w:t>
            </w:r>
          </w:p>
          <w:p w:rsidRPr="00632953" w:rsidR="00632953" w:rsidP="00632953" w:rsidRDefault="00632953" w14:paraId="6C7DEBC4" w14:textId="77777777">
            <w:pPr>
              <w:ind w:left="556" w:right="142"/>
              <w:jc w:val="both"/>
              <w:rPr>
                <w:rFonts w:cs="Arial"/>
              </w:rPr>
            </w:pPr>
          </w:p>
          <w:p w:rsidR="00632953" w:rsidP="00632953" w:rsidRDefault="00632953" w14:paraId="1A0C87BC" w14:textId="5BDC3EB2">
            <w:pPr>
              <w:pStyle w:val="Listavistosa-nfasis11"/>
              <w:spacing w:after="0" w:line="240" w:lineRule="auto"/>
              <w:ind w:left="556" w:right="142"/>
              <w:jc w:val="both"/>
              <w:rPr>
                <w:rFonts w:ascii="Arial" w:hAnsi="Arial" w:cs="Arial"/>
                <w:sz w:val="20"/>
                <w:szCs w:val="20"/>
              </w:rPr>
            </w:pPr>
            <w:r w:rsidRPr="00632953">
              <w:rPr>
                <w:rFonts w:ascii="Arial" w:hAnsi="Arial" w:cs="Arial"/>
                <w:sz w:val="20"/>
                <w:szCs w:val="20"/>
              </w:rPr>
              <w:t>En cumplimiento de las anteriores disposiciones</w:t>
            </w:r>
            <w:r w:rsidR="008448CA">
              <w:rPr>
                <w:rFonts w:ascii="Arial" w:hAnsi="Arial" w:cs="Arial"/>
                <w:sz w:val="20"/>
                <w:szCs w:val="20"/>
              </w:rPr>
              <w:t xml:space="preserve"> </w:t>
            </w:r>
            <w:r w:rsidRPr="00346B6F" w:rsidR="008448CA">
              <w:rPr>
                <w:rFonts w:ascii="Arial" w:hAnsi="Arial" w:cs="Arial"/>
                <w:sz w:val="20"/>
                <w:szCs w:val="20"/>
              </w:rPr>
              <w:t>y conforme a lo previsto en las Resoluciones CNTV 429 de 1997 y 111 de 1998</w:t>
            </w:r>
            <w:r w:rsidRPr="00632953">
              <w:rPr>
                <w:rFonts w:ascii="Arial" w:hAnsi="Arial" w:cs="Arial"/>
                <w:sz w:val="20"/>
                <w:szCs w:val="20"/>
              </w:rPr>
              <w:t xml:space="preserve">, se hace necesario actualizar las tarifas de las frecuencias asignadas a los canales nacionales de operación privada y a las estaciones locales con y sin ánimo de lucro para el año 2026, teniendo en cuenta el IPC para el año 2025 </w:t>
            </w:r>
            <w:r w:rsidR="008448CA">
              <w:rPr>
                <w:rFonts w:ascii="Arial" w:hAnsi="Arial" w:cs="Arial"/>
                <w:sz w:val="20"/>
                <w:szCs w:val="20"/>
              </w:rPr>
              <w:t xml:space="preserve">que </w:t>
            </w:r>
            <w:r w:rsidRPr="00632953">
              <w:rPr>
                <w:rFonts w:ascii="Arial" w:hAnsi="Arial" w:cs="Arial"/>
                <w:sz w:val="20"/>
                <w:szCs w:val="20"/>
              </w:rPr>
              <w:t>corresponde al 5,10%</w:t>
            </w:r>
            <w:r w:rsidR="008448CA">
              <w:rPr>
                <w:rFonts w:ascii="Arial" w:hAnsi="Arial" w:cs="Arial"/>
                <w:sz w:val="20"/>
                <w:szCs w:val="20"/>
              </w:rPr>
              <w:t xml:space="preserve">. Dicho valor, </w:t>
            </w:r>
            <w:r w:rsidRPr="00632953">
              <w:rPr>
                <w:rFonts w:ascii="Arial" w:hAnsi="Arial" w:cs="Arial"/>
                <w:sz w:val="20"/>
                <w:szCs w:val="20"/>
              </w:rPr>
              <w:t xml:space="preserve">puede ser consultado en DANE - Índice de Precios al Consumidor -IPC- Histórico. </w:t>
            </w:r>
          </w:p>
          <w:p w:rsidR="008448CA" w:rsidP="00632953" w:rsidRDefault="008448CA" w14:paraId="52156268" w14:textId="77777777">
            <w:pPr>
              <w:pStyle w:val="Listavistosa-nfasis11"/>
              <w:spacing w:after="0" w:line="240" w:lineRule="auto"/>
              <w:ind w:left="556" w:right="142"/>
              <w:jc w:val="both"/>
              <w:rPr>
                <w:rFonts w:ascii="Arial" w:hAnsi="Arial" w:cs="Arial"/>
                <w:sz w:val="20"/>
                <w:szCs w:val="20"/>
              </w:rPr>
            </w:pPr>
          </w:p>
          <w:p w:rsidR="008448CA" w:rsidP="00632953" w:rsidRDefault="008448CA" w14:paraId="06679254" w14:textId="6B092E25">
            <w:pPr>
              <w:pStyle w:val="Listavistosa-nfasis11"/>
              <w:spacing w:after="0" w:line="240" w:lineRule="auto"/>
              <w:ind w:left="556" w:right="142"/>
              <w:jc w:val="both"/>
              <w:rPr>
                <w:rFonts w:ascii="Arial" w:hAnsi="Arial" w:cs="Arial"/>
                <w:sz w:val="20"/>
                <w:szCs w:val="20"/>
              </w:rPr>
            </w:pPr>
            <w:r w:rsidRPr="620B8672">
              <w:rPr>
                <w:rFonts w:ascii="Arial" w:hAnsi="Arial" w:cs="Arial"/>
                <w:sz w:val="20"/>
                <w:szCs w:val="20"/>
              </w:rPr>
              <w:t>Con base en lo anterior, se aplicó la siguiente formula que permite definir los valores de las frecuencias UHF para el año 2026</w:t>
            </w:r>
            <w:r w:rsidRPr="620B8672" w:rsidR="634DEC99">
              <w:rPr>
                <w:rFonts w:ascii="Arial" w:hAnsi="Arial" w:cs="Arial"/>
                <w:sz w:val="20"/>
                <w:szCs w:val="20"/>
              </w:rPr>
              <w:t xml:space="preserve"> así</w:t>
            </w:r>
            <w:r w:rsidRPr="620B8672">
              <w:rPr>
                <w:rFonts w:ascii="Arial" w:hAnsi="Arial" w:cs="Arial"/>
                <w:sz w:val="20"/>
                <w:szCs w:val="20"/>
              </w:rPr>
              <w:t>:</w:t>
            </w:r>
          </w:p>
          <w:p w:rsidR="00632953" w:rsidP="00632953" w:rsidRDefault="00632953" w14:paraId="3C2FB33B" w14:textId="77777777">
            <w:pPr>
              <w:pStyle w:val="Listavistosa-nfasis11"/>
              <w:spacing w:after="0" w:line="240" w:lineRule="auto"/>
              <w:ind w:left="556" w:right="142"/>
              <w:jc w:val="both"/>
              <w:rPr>
                <w:rFonts w:ascii="Arial" w:hAnsi="Arial" w:cs="Arial"/>
                <w:sz w:val="20"/>
                <w:szCs w:val="20"/>
              </w:rPr>
            </w:pPr>
          </w:p>
          <w:p w:rsidRPr="008448CA" w:rsidR="00632953" w:rsidP="008448CA" w:rsidRDefault="00632953" w14:paraId="4B4F2B4B" w14:textId="33DD41EF">
            <w:pPr>
              <w:pStyle w:val="Prrafodelista"/>
              <w:numPr>
                <w:ilvl w:val="0"/>
                <w:numId w:val="47"/>
              </w:numPr>
              <w:ind w:right="142"/>
              <w:jc w:val="both"/>
              <w:rPr>
                <w:rFonts w:cs="Arial"/>
                <w:b/>
                <w:bCs/>
                <w:u w:val="single"/>
              </w:rPr>
            </w:pPr>
            <w:r w:rsidRPr="008448CA">
              <w:rPr>
                <w:rFonts w:cs="Arial"/>
                <w:b/>
                <w:bCs/>
                <w:u w:val="single"/>
              </w:rPr>
              <w:t>Actualización valor frecuencias VHF 2026 asignadas a canales nacionales de operación privada y a las estaciones locales con y sin ánimo de lucro:</w:t>
            </w:r>
          </w:p>
          <w:p w:rsidR="008448CA" w:rsidP="008448CA" w:rsidRDefault="008448CA" w14:paraId="48710BC4" w14:textId="77777777">
            <w:pPr>
              <w:pStyle w:val="Prrafodelista"/>
              <w:ind w:left="916" w:right="142"/>
              <w:jc w:val="both"/>
              <w:rPr>
                <w:rFonts w:cs="Arial"/>
                <w:b/>
                <w:bCs/>
                <w:u w:val="single"/>
              </w:rPr>
            </w:pPr>
          </w:p>
          <w:p w:rsidRPr="008448CA" w:rsidR="008448CA" w:rsidP="008448CA" w:rsidRDefault="008448CA" w14:paraId="39AFFD08" w14:textId="77777777">
            <w:pPr>
              <w:pStyle w:val="Prrafodelista"/>
              <w:ind w:left="916" w:right="142"/>
              <w:jc w:val="both"/>
              <w:rPr>
                <w:rFonts w:cs="Arial"/>
                <w:b/>
                <w:bCs/>
                <w:u w:val="single"/>
              </w:rPr>
            </w:pPr>
          </w:p>
          <w:p w:rsidRPr="001A03CC" w:rsidR="00632953" w:rsidP="00632953" w:rsidRDefault="00632953" w14:paraId="373CC9B8" w14:textId="77777777">
            <w:pPr>
              <w:ind w:left="-284" w:right="-518"/>
              <w:rPr>
                <w:rFonts w:ascii="Arial Narrow" w:hAnsi="Arial Narrow" w:cs="Arial"/>
                <w:sz w:val="22"/>
                <w:szCs w:val="22"/>
                <w:u w:val="single"/>
              </w:rPr>
            </w:pPr>
          </w:p>
          <w:p w:rsidRPr="00632953" w:rsidR="00632953" w:rsidP="00632953" w:rsidRDefault="00000000" w14:paraId="321359C8" w14:textId="77777777">
            <w:pPr>
              <w:ind w:left="-284" w:right="-518"/>
              <w:rPr>
                <w:rFonts w:ascii="Arial Narrow" w:hAnsi="Arial Narrow" w:cs="Arial"/>
                <w:iCs/>
              </w:rPr>
            </w:pPr>
            <m:oMathPara>
              <m:oMath>
                <m:sSub>
                  <m:sSubPr>
                    <m:ctrlPr>
                      <w:rPr>
                        <w:rFonts w:ascii="Cambria Math" w:hAnsi="Cambria Math" w:cs="Arial"/>
                        <w:iCs/>
                      </w:rPr>
                    </m:ctrlPr>
                  </m:sSubPr>
                  <m:e>
                    <m:r>
                      <m:rPr>
                        <m:sty m:val="p"/>
                      </m:rPr>
                      <w:rPr>
                        <w:rFonts w:ascii="Cambria Math" w:hAnsi="Cambria Math" w:cs="Arial"/>
                      </w:rPr>
                      <m:t>Valor Frec. VHF</m:t>
                    </m:r>
                  </m:e>
                  <m:sub>
                    <m:r>
                      <m:rPr>
                        <m:sty m:val="p"/>
                      </m:rPr>
                      <w:rPr>
                        <w:rFonts w:ascii="Cambria Math" w:hAnsi="Cambria Math" w:cs="Arial"/>
                      </w:rPr>
                      <m:t>2026</m:t>
                    </m:r>
                  </m:sub>
                </m:sSub>
                <m:r>
                  <w:rPr>
                    <w:rFonts w:ascii="Cambria Math" w:hAnsi="Cambria Math" w:cs="Arial"/>
                  </w:rPr>
                  <m:t xml:space="preserve">= </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Valor Frec. VHF</m:t>
                        </m:r>
                      </m:e>
                      <m:sub>
                        <m:r>
                          <m:rPr>
                            <m:sty m:val="p"/>
                          </m:rPr>
                          <w:rPr>
                            <w:rFonts w:ascii="Cambria Math" w:hAnsi="Cambria Math" w:cs="Arial"/>
                          </w:rPr>
                          <m:t>2025</m:t>
                        </m:r>
                      </m:sub>
                    </m:sSub>
                    <m:r>
                      <m:rPr>
                        <m:sty m:val="p"/>
                      </m:rPr>
                      <w:rPr>
                        <w:rFonts w:ascii="Cambria Math" w:hAnsi="Cambria Math" w:cs="Arial"/>
                      </w:rPr>
                      <m:t xml:space="preserve">x </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IPC</m:t>
                                </m:r>
                              </m:e>
                              <m:sub>
                                <m:r>
                                  <m:rPr>
                                    <m:sty m:val="p"/>
                                  </m:rPr>
                                  <w:rPr>
                                    <w:rFonts w:ascii="Cambria Math" w:hAnsi="Cambria Math" w:cs="Arial"/>
                                  </w:rPr>
                                  <m:t>2025</m:t>
                                </m:r>
                              </m:sub>
                            </m:sSub>
                          </m:num>
                          <m:den>
                            <m:r>
                              <m:rPr>
                                <m:sty m:val="p"/>
                              </m:rPr>
                              <w:rPr>
                                <w:rFonts w:ascii="Cambria Math" w:hAnsi="Cambria Math" w:cs="Arial"/>
                              </w:rPr>
                              <m:t>100</m:t>
                            </m:r>
                          </m:den>
                        </m:f>
                        <m:r>
                          <m:rPr>
                            <m:sty m:val="p"/>
                          </m:rPr>
                          <w:rPr>
                            <w:rFonts w:ascii="Cambria Math" w:hAnsi="Cambria Math" w:cs="Arial"/>
                          </w:rPr>
                          <m:t>+1</m:t>
                        </m:r>
                      </m:e>
                    </m:d>
                  </m:e>
                </m:d>
              </m:oMath>
            </m:oMathPara>
          </w:p>
          <w:p w:rsidR="00632953" w:rsidP="00632953" w:rsidRDefault="00632953" w14:paraId="54DA0F27" w14:textId="77777777">
            <w:pPr>
              <w:ind w:right="-518"/>
              <w:rPr>
                <w:rFonts w:ascii="Arial Narrow" w:hAnsi="Arial Narrow" w:cs="Arial"/>
                <w:sz w:val="22"/>
                <w:szCs w:val="22"/>
              </w:rPr>
            </w:pPr>
          </w:p>
          <w:p w:rsidRPr="00632953" w:rsidR="00632953" w:rsidP="00632953" w:rsidRDefault="00632953" w14:paraId="4C843B56" w14:textId="77777777">
            <w:pPr>
              <w:ind w:left="556" w:right="-518"/>
              <w:rPr>
                <w:rFonts w:cs="Arial"/>
              </w:rPr>
            </w:pPr>
            <w:r w:rsidRPr="00632953">
              <w:rPr>
                <w:rFonts w:cs="Arial"/>
              </w:rPr>
              <w:t>Luego:</w:t>
            </w:r>
          </w:p>
          <w:p w:rsidRPr="001A03CC" w:rsidR="00632953" w:rsidP="00632953" w:rsidRDefault="00632953" w14:paraId="07E528DD" w14:textId="77777777">
            <w:pPr>
              <w:ind w:left="-284" w:right="-518"/>
              <w:jc w:val="center"/>
              <w:rPr>
                <w:rFonts w:ascii="Arial Narrow" w:hAnsi="Arial Narrow" w:cs="Arial"/>
                <w:iCs/>
                <w:sz w:val="22"/>
                <w:szCs w:val="22"/>
              </w:rPr>
            </w:pPr>
          </w:p>
          <w:p w:rsidRPr="00632953" w:rsidR="00632953" w:rsidP="00632953" w:rsidRDefault="00000000" w14:paraId="7D5D58DC" w14:textId="77777777">
            <w:pPr>
              <w:ind w:left="-284" w:right="-518"/>
              <w:jc w:val="center"/>
              <w:rPr>
                <w:rFonts w:ascii="Arial Narrow" w:hAnsi="Arial Narrow" w:cs="Arial"/>
              </w:rPr>
            </w:pPr>
            <m:oMath>
              <m:sSub>
                <m:sSubPr>
                  <m:ctrlPr>
                    <w:rPr>
                      <w:rFonts w:ascii="Cambria Math" w:hAnsi="Cambria Math" w:cs="Arial"/>
                      <w:iCs/>
                    </w:rPr>
                  </m:ctrlPr>
                </m:sSubPr>
                <m:e>
                  <m:r>
                    <m:rPr>
                      <m:sty m:val="p"/>
                    </m:rPr>
                    <w:rPr>
                      <w:rFonts w:ascii="Cambria Math" w:hAnsi="Cambria Math" w:cs="Arial"/>
                    </w:rPr>
                    <m:t>Valor Frec. VHF</m:t>
                  </m:r>
                </m:e>
                <m:sub>
                  <m:r>
                    <m:rPr>
                      <m:sty m:val="p"/>
                    </m:rPr>
                    <w:rPr>
                      <w:rFonts w:ascii="Cambria Math" w:hAnsi="Cambria Math" w:cs="Arial"/>
                    </w:rPr>
                    <m:t>2026</m:t>
                  </m:r>
                </m:sub>
              </m:sSub>
              <m:r>
                <w:rPr>
                  <w:rFonts w:ascii="Cambria Math" w:hAnsi="Cambria Math" w:cs="Arial"/>
                </w:rPr>
                <m:t>=$</m:t>
              </m:r>
              <m:r>
                <m:rPr>
                  <m:sty m:val="p"/>
                </m:rPr>
                <w:rPr>
                  <w:rFonts w:ascii="Cambria Math" w:hAnsi="Cambria Math" w:cs="Arial"/>
                </w:rPr>
                <m:t>5.764.299 x 1,051</m:t>
              </m:r>
            </m:oMath>
            <w:r w:rsidRPr="00632953" w:rsidR="00632953">
              <w:rPr>
                <w:rFonts w:ascii="Arial Narrow" w:hAnsi="Arial Narrow" w:cs="Arial"/>
              </w:rPr>
              <w:t xml:space="preserve"> </w:t>
            </w:r>
          </w:p>
          <w:p w:rsidRPr="00632953" w:rsidR="00632953" w:rsidP="00632953" w:rsidRDefault="00632953" w14:paraId="0126E111" w14:textId="77777777">
            <w:pPr>
              <w:ind w:left="-284" w:right="-518"/>
              <w:jc w:val="center"/>
              <w:rPr>
                <w:rFonts w:ascii="Arial Narrow" w:hAnsi="Arial Narrow" w:cs="Arial"/>
              </w:rPr>
            </w:pPr>
          </w:p>
          <w:p w:rsidRPr="00632953" w:rsidR="00632953" w:rsidP="00632953" w:rsidRDefault="00000000" w14:paraId="4B950771" w14:textId="77777777">
            <w:pPr>
              <w:ind w:left="-284" w:right="-518"/>
              <w:jc w:val="center"/>
              <w:rPr>
                <w:rFonts w:ascii="Arial Narrow" w:hAnsi="Arial Narrow" w:cs="Arial"/>
                <w:b/>
                <w:bCs/>
                <w:color w:val="000000"/>
                <w:lang w:eastAsia="es-CO"/>
              </w:rPr>
            </w:pPr>
            <m:oMathPara>
              <m:oMath>
                <m:sSub>
                  <m:sSubPr>
                    <m:ctrlPr>
                      <w:rPr>
                        <w:rFonts w:ascii="Cambria Math" w:hAnsi="Cambria Math" w:cs="Arial"/>
                        <w:b/>
                        <w:bCs/>
                        <w:iCs/>
                      </w:rPr>
                    </m:ctrlPr>
                  </m:sSubPr>
                  <m:e>
                    <m:r>
                      <m:rPr>
                        <m:sty m:val="b"/>
                      </m:rPr>
                      <w:rPr>
                        <w:rFonts w:ascii="Cambria Math" w:hAnsi="Cambria Math" w:cs="Arial"/>
                      </w:rPr>
                      <m:t>Valor Frec. VHF</m:t>
                    </m:r>
                  </m:e>
                  <m:sub>
                    <m:r>
                      <m:rPr>
                        <m:sty m:val="b"/>
                      </m:rPr>
                      <w:rPr>
                        <w:rFonts w:ascii="Cambria Math" w:hAnsi="Cambria Math" w:cs="Arial"/>
                      </w:rPr>
                      <m:t>2026</m:t>
                    </m:r>
                  </m:sub>
                </m:sSub>
                <m:r>
                  <m:rPr>
                    <m:sty m:val="bi"/>
                  </m:rPr>
                  <w:rPr>
                    <w:rFonts w:ascii="Cambria Math" w:hAnsi="Cambria Math" w:cs="Arial"/>
                  </w:rPr>
                  <m:t>=$</m:t>
                </m:r>
                <m:r>
                  <m:rPr>
                    <m:sty m:val="b"/>
                  </m:rPr>
                  <w:rPr>
                    <w:rFonts w:ascii="Cambria Math" w:hAnsi="Cambria Math" w:cs="Arial"/>
                  </w:rPr>
                  <m:t>6.058.278</m:t>
                </m:r>
              </m:oMath>
            </m:oMathPara>
          </w:p>
          <w:p w:rsidRPr="00632953" w:rsidR="00632953" w:rsidP="00632953" w:rsidRDefault="00632953" w14:paraId="2F4B51B8" w14:textId="77777777">
            <w:pPr>
              <w:ind w:left="-284" w:right="-518"/>
              <w:rPr>
                <w:rFonts w:ascii="Arial Narrow" w:hAnsi="Arial Narrow" w:cs="Arial"/>
                <w:u w:val="single"/>
              </w:rPr>
            </w:pPr>
          </w:p>
          <w:p w:rsidR="00632953" w:rsidP="00632953" w:rsidRDefault="00632953" w14:paraId="4D9268AD" w14:textId="77777777">
            <w:pPr>
              <w:ind w:left="556" w:right="49"/>
              <w:jc w:val="both"/>
              <w:rPr>
                <w:rFonts w:cs="Arial"/>
                <w:b/>
                <w:bCs/>
                <w:u w:val="single"/>
              </w:rPr>
            </w:pPr>
          </w:p>
          <w:p w:rsidRPr="00632953" w:rsidR="00632953" w:rsidP="00AD21C1" w:rsidRDefault="00632953" w14:paraId="19B4E591" w14:textId="1E80C857">
            <w:pPr>
              <w:ind w:left="556" w:right="142"/>
              <w:jc w:val="both"/>
              <w:rPr>
                <w:rFonts w:cs="Arial"/>
                <w:b/>
                <w:bCs/>
                <w:u w:val="single"/>
              </w:rPr>
            </w:pPr>
            <w:r w:rsidRPr="00632953">
              <w:rPr>
                <w:rFonts w:cs="Arial"/>
                <w:b/>
                <w:bCs/>
                <w:u w:val="single"/>
              </w:rPr>
              <w:t>b) Actualización valor frecuencias UHF 2026 asignadas canales nacionales de operación privada y a las estaciones locales con y sin ánimo de lucro:</w:t>
            </w:r>
          </w:p>
          <w:p w:rsidRPr="001A03CC" w:rsidR="00632953" w:rsidP="00632953" w:rsidRDefault="00632953" w14:paraId="4BD7A645" w14:textId="77777777">
            <w:pPr>
              <w:ind w:left="-284" w:right="-518"/>
              <w:rPr>
                <w:rFonts w:ascii="Arial Narrow" w:hAnsi="Arial Narrow" w:cs="Arial"/>
                <w:sz w:val="22"/>
                <w:szCs w:val="22"/>
                <w:u w:val="single"/>
              </w:rPr>
            </w:pPr>
          </w:p>
          <w:p w:rsidRPr="00632953" w:rsidR="00632953" w:rsidP="00632953" w:rsidRDefault="00000000" w14:paraId="2B12808E" w14:textId="77777777">
            <w:pPr>
              <w:ind w:left="-284" w:right="-518"/>
              <w:rPr>
                <w:rFonts w:ascii="Arial Narrow" w:hAnsi="Arial Narrow" w:cs="Arial"/>
              </w:rPr>
            </w:pPr>
            <m:oMathPara>
              <m:oMath>
                <m:sSub>
                  <m:sSubPr>
                    <m:ctrlPr>
                      <w:rPr>
                        <w:rFonts w:ascii="Cambria Math" w:hAnsi="Cambria Math" w:cs="Arial"/>
                        <w:iCs/>
                      </w:rPr>
                    </m:ctrlPr>
                  </m:sSubPr>
                  <m:e>
                    <m:r>
                      <m:rPr>
                        <m:sty m:val="p"/>
                      </m:rPr>
                      <w:rPr>
                        <w:rFonts w:ascii="Cambria Math" w:hAnsi="Cambria Math" w:cs="Arial"/>
                      </w:rPr>
                      <m:t>Valor Frec. UHF</m:t>
                    </m:r>
                  </m:e>
                  <m:sub>
                    <m:r>
                      <m:rPr>
                        <m:sty m:val="p"/>
                      </m:rPr>
                      <w:rPr>
                        <w:rFonts w:ascii="Cambria Math" w:hAnsi="Cambria Math" w:cs="Arial"/>
                      </w:rPr>
                      <m:t>2026</m:t>
                    </m:r>
                  </m:sub>
                </m:sSub>
                <m:r>
                  <w:rPr>
                    <w:rFonts w:ascii="Cambria Math" w:hAnsi="Cambria Math" w:cs="Arial"/>
                  </w:rPr>
                  <m:t xml:space="preserve">= </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Valor Frec. UHF</m:t>
                        </m:r>
                      </m:e>
                      <m:sub>
                        <m:r>
                          <m:rPr>
                            <m:sty m:val="p"/>
                          </m:rPr>
                          <w:rPr>
                            <w:rFonts w:ascii="Cambria Math" w:hAnsi="Cambria Math" w:cs="Arial"/>
                          </w:rPr>
                          <m:t>2025</m:t>
                        </m:r>
                      </m:sub>
                    </m:sSub>
                    <m:r>
                      <m:rPr>
                        <m:sty m:val="p"/>
                      </m:rPr>
                      <w:rPr>
                        <w:rFonts w:ascii="Cambria Math" w:hAnsi="Cambria Math" w:cs="Arial"/>
                      </w:rPr>
                      <m:t xml:space="preserve">x </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IPC</m:t>
                                </m:r>
                              </m:e>
                              <m:sub>
                                <m:r>
                                  <m:rPr>
                                    <m:sty m:val="p"/>
                                  </m:rPr>
                                  <w:rPr>
                                    <w:rFonts w:ascii="Cambria Math" w:hAnsi="Cambria Math" w:cs="Arial"/>
                                  </w:rPr>
                                  <m:t>2025</m:t>
                                </m:r>
                              </m:sub>
                            </m:sSub>
                          </m:num>
                          <m:den>
                            <m:r>
                              <m:rPr>
                                <m:sty m:val="p"/>
                              </m:rPr>
                              <w:rPr>
                                <w:rFonts w:ascii="Cambria Math" w:hAnsi="Cambria Math" w:cs="Arial"/>
                              </w:rPr>
                              <m:t>100</m:t>
                            </m:r>
                          </m:den>
                        </m:f>
                        <m:r>
                          <m:rPr>
                            <m:sty m:val="p"/>
                          </m:rPr>
                          <w:rPr>
                            <w:rFonts w:ascii="Cambria Math" w:hAnsi="Cambria Math" w:cs="Arial"/>
                          </w:rPr>
                          <m:t>+1</m:t>
                        </m:r>
                      </m:e>
                    </m:d>
                  </m:e>
                </m:d>
              </m:oMath>
            </m:oMathPara>
          </w:p>
          <w:p w:rsidR="00632953" w:rsidP="00632953" w:rsidRDefault="00632953" w14:paraId="7FDA991B" w14:textId="77777777">
            <w:pPr>
              <w:ind w:right="-518"/>
              <w:rPr>
                <w:rFonts w:ascii="Arial Narrow" w:hAnsi="Arial Narrow" w:cs="Arial"/>
                <w:sz w:val="22"/>
                <w:szCs w:val="22"/>
              </w:rPr>
            </w:pPr>
          </w:p>
          <w:p w:rsidRPr="00632953" w:rsidR="00632953" w:rsidP="00632953" w:rsidRDefault="00632953" w14:paraId="003092A1" w14:textId="77777777">
            <w:pPr>
              <w:ind w:left="556" w:right="-518"/>
              <w:rPr>
                <w:rFonts w:cs="Arial"/>
              </w:rPr>
            </w:pPr>
            <w:r w:rsidRPr="00632953">
              <w:rPr>
                <w:rFonts w:cs="Arial"/>
              </w:rPr>
              <w:t>Luego:</w:t>
            </w:r>
          </w:p>
          <w:p w:rsidRPr="00632953" w:rsidR="00632953" w:rsidP="00632953" w:rsidRDefault="00632953" w14:paraId="6275DAAA" w14:textId="77777777">
            <w:pPr>
              <w:ind w:left="-284" w:right="-518"/>
              <w:rPr>
                <w:rFonts w:ascii="Arial Narrow" w:hAnsi="Arial Narrow" w:cs="Arial"/>
              </w:rPr>
            </w:pPr>
          </w:p>
          <w:p w:rsidRPr="00632953" w:rsidR="00632953" w:rsidP="00632953" w:rsidRDefault="00000000" w14:paraId="5E52A418" w14:textId="77777777">
            <w:pPr>
              <w:ind w:left="-284" w:right="-518"/>
              <w:jc w:val="center"/>
              <w:rPr>
                <w:rFonts w:ascii="Arial Narrow" w:hAnsi="Arial Narrow" w:cs="Arial"/>
              </w:rPr>
            </w:pPr>
            <m:oMathPara>
              <m:oMath>
                <m:sSub>
                  <m:sSubPr>
                    <m:ctrlPr>
                      <w:rPr>
                        <w:rFonts w:ascii="Cambria Math" w:hAnsi="Cambria Math" w:cs="Arial"/>
                        <w:iCs/>
                      </w:rPr>
                    </m:ctrlPr>
                  </m:sSubPr>
                  <m:e>
                    <m:r>
                      <m:rPr>
                        <m:sty m:val="p"/>
                      </m:rPr>
                      <w:rPr>
                        <w:rFonts w:ascii="Cambria Math" w:hAnsi="Cambria Math" w:cs="Arial"/>
                      </w:rPr>
                      <m:t>Valor Frec. UHF</m:t>
                    </m:r>
                  </m:e>
                  <m:sub>
                    <m:r>
                      <m:rPr>
                        <m:sty m:val="p"/>
                      </m:rPr>
                      <w:rPr>
                        <w:rFonts w:ascii="Cambria Math" w:hAnsi="Cambria Math" w:cs="Arial"/>
                      </w:rPr>
                      <m:t>2026</m:t>
                    </m:r>
                  </m:sub>
                </m:sSub>
                <m:r>
                  <w:rPr>
                    <w:rFonts w:ascii="Cambria Math" w:hAnsi="Cambria Math" w:cs="Arial"/>
                  </w:rPr>
                  <m:t>=$</m:t>
                </m:r>
                <m:r>
                  <m:rPr>
                    <m:sty m:val="p"/>
                  </m:rPr>
                  <w:rPr>
                    <w:rFonts w:ascii="Cambria Math" w:hAnsi="Cambria Math" w:cs="Arial"/>
                  </w:rPr>
                  <m:t>5.187.885 x 1,051</m:t>
                </m:r>
              </m:oMath>
            </m:oMathPara>
          </w:p>
          <w:p w:rsidRPr="00632953" w:rsidR="00632953" w:rsidP="00632953" w:rsidRDefault="00632953" w14:paraId="236E0A02" w14:textId="77777777">
            <w:pPr>
              <w:ind w:left="-284" w:right="-518"/>
              <w:rPr>
                <w:rFonts w:ascii="Arial Narrow" w:hAnsi="Arial Narrow" w:cs="Arial"/>
              </w:rPr>
            </w:pPr>
          </w:p>
          <w:p w:rsidRPr="00632953" w:rsidR="00632953" w:rsidP="00632953" w:rsidRDefault="00000000" w14:paraId="4F82A7AC" w14:textId="77777777">
            <w:pPr>
              <w:ind w:left="-284" w:right="-518"/>
              <w:jc w:val="center"/>
              <w:rPr>
                <w:rFonts w:ascii="Arial Narrow" w:hAnsi="Arial Narrow" w:cs="Arial"/>
                <w:b/>
                <w:bCs/>
                <w:u w:val="single"/>
              </w:rPr>
            </w:pPr>
            <m:oMathPara>
              <m:oMath>
                <m:sSub>
                  <m:sSubPr>
                    <m:ctrlPr>
                      <w:rPr>
                        <w:rFonts w:ascii="Cambria Math" w:hAnsi="Cambria Math" w:cs="Arial"/>
                        <w:b/>
                        <w:bCs/>
                        <w:iCs/>
                      </w:rPr>
                    </m:ctrlPr>
                  </m:sSubPr>
                  <m:e>
                    <m:r>
                      <m:rPr>
                        <m:sty m:val="b"/>
                      </m:rPr>
                      <w:rPr>
                        <w:rFonts w:ascii="Cambria Math" w:hAnsi="Cambria Math" w:cs="Arial"/>
                      </w:rPr>
                      <m:t xml:space="preserve">Valor Frec.  </m:t>
                    </m:r>
                    <m:r>
                      <m:rPr>
                        <m:sty m:val="b"/>
                      </m:rPr>
                      <w:rPr>
                        <w:rFonts w:ascii="Cambria Math" w:hAnsi="Cambria Math" w:cs="Arial"/>
                        <w:caps/>
                      </w:rPr>
                      <m:t>UHF</m:t>
                    </m:r>
                  </m:e>
                  <m:sub>
                    <m:r>
                      <m:rPr>
                        <m:sty m:val="b"/>
                      </m:rPr>
                      <w:rPr>
                        <w:rFonts w:ascii="Cambria Math" w:hAnsi="Cambria Math" w:cs="Arial"/>
                      </w:rPr>
                      <m:t>2026</m:t>
                    </m:r>
                  </m:sub>
                </m:sSub>
                <m:r>
                  <m:rPr>
                    <m:sty m:val="bi"/>
                  </m:rPr>
                  <w:rPr>
                    <w:rFonts w:ascii="Cambria Math" w:hAnsi="Cambria Math" w:cs="Arial"/>
                  </w:rPr>
                  <m:t>=$</m:t>
                </m:r>
                <m:r>
                  <m:rPr>
                    <m:sty m:val="b"/>
                  </m:rPr>
                  <w:rPr>
                    <w:rFonts w:ascii="Cambria Math" w:hAnsi="Cambria Math" w:cs="Arial"/>
                  </w:rPr>
                  <m:t>5.452.467</m:t>
                </m:r>
              </m:oMath>
            </m:oMathPara>
          </w:p>
          <w:p w:rsidRPr="009F7CED" w:rsidR="002E4A97" w:rsidP="0075705D" w:rsidRDefault="002E4A97" w14:paraId="4CD27D53" w14:textId="77777777">
            <w:pPr>
              <w:autoSpaceDE w:val="0"/>
              <w:autoSpaceDN w:val="0"/>
              <w:adjustRightInd w:val="0"/>
              <w:jc w:val="both"/>
              <w:rPr>
                <w:rFonts w:eastAsia="Calibri" w:cs="Arial"/>
                <w:sz w:val="22"/>
                <w:szCs w:val="22"/>
                <w:lang w:val="es-CO" w:eastAsia="en-US"/>
              </w:rPr>
            </w:pPr>
          </w:p>
        </w:tc>
      </w:tr>
      <w:tr w:rsidRPr="009F7CED" w:rsidR="00DF60FD" w:rsidTr="620B8672" w14:paraId="2C8A0E56" w14:textId="77777777">
        <w:trPr>
          <w:trHeight w:val="47"/>
        </w:trPr>
        <w:tc>
          <w:tcPr>
            <w:tcW w:w="10774" w:type="dxa"/>
            <w:gridSpan w:val="3"/>
            <w:shd w:val="clear" w:color="auto" w:fill="FFFFFF" w:themeFill="background1"/>
            <w:vAlign w:val="center"/>
          </w:tcPr>
          <w:p w:rsidRPr="009F7CED" w:rsidR="00251FCE" w:rsidP="0075705D" w:rsidRDefault="00251FCE" w14:paraId="2EF9499E" w14:textId="77777777">
            <w:pPr>
              <w:jc w:val="both"/>
              <w:rPr>
                <w:lang w:eastAsia="es-CO"/>
              </w:rPr>
            </w:pPr>
          </w:p>
        </w:tc>
      </w:tr>
      <w:tr w:rsidRPr="009F7CED" w:rsidR="00DF60FD" w:rsidTr="620B8672" w14:paraId="1D35CE88" w14:textId="77777777">
        <w:trPr>
          <w:trHeight w:val="66"/>
        </w:trPr>
        <w:tc>
          <w:tcPr>
            <w:tcW w:w="10774" w:type="dxa"/>
            <w:gridSpan w:val="3"/>
            <w:tcBorders>
              <w:top w:val="single" w:color="auto" w:sz="4" w:space="0"/>
              <w:bottom w:val="single" w:color="auto" w:sz="4" w:space="0"/>
            </w:tcBorders>
            <w:shd w:val="clear" w:color="auto" w:fill="FFFFFF" w:themeFill="background1"/>
            <w:vAlign w:val="center"/>
          </w:tcPr>
          <w:p w:rsidR="009E08CA" w:rsidP="00AD21C1" w:rsidRDefault="00AD21C1" w14:paraId="34E6799E" w14:textId="77777777">
            <w:pPr>
              <w:rPr>
                <w:rFonts w:cs="Arial"/>
                <w:b/>
                <w:color w:val="000000"/>
                <w:sz w:val="22"/>
                <w:szCs w:val="22"/>
              </w:rPr>
            </w:pPr>
            <w:r>
              <w:rPr>
                <w:rFonts w:cs="Arial"/>
                <w:b/>
                <w:color w:val="000000"/>
                <w:sz w:val="22"/>
                <w:szCs w:val="22"/>
              </w:rPr>
              <w:t xml:space="preserve"> </w:t>
            </w:r>
          </w:p>
          <w:p w:rsidRPr="004D2DD4" w:rsidR="00DF60FD" w:rsidP="004D2DD4" w:rsidRDefault="00DF60FD" w14:paraId="4754CE36" w14:textId="6C28CCC4">
            <w:pPr>
              <w:pStyle w:val="Prrafodelista"/>
              <w:numPr>
                <w:ilvl w:val="0"/>
                <w:numId w:val="46"/>
              </w:numPr>
              <w:rPr>
                <w:rFonts w:cs="Arial"/>
                <w:b/>
                <w:color w:val="000000"/>
                <w:sz w:val="22"/>
                <w:szCs w:val="22"/>
              </w:rPr>
            </w:pPr>
            <w:r w:rsidRPr="004D2DD4">
              <w:rPr>
                <w:rFonts w:cs="Arial"/>
                <w:b/>
                <w:color w:val="000000"/>
                <w:sz w:val="22"/>
                <w:szCs w:val="22"/>
              </w:rPr>
              <w:t>AMBITO DE APLICACIÓN Y SUJETO</w:t>
            </w:r>
            <w:r w:rsidRPr="004D2DD4" w:rsidR="00795C6B">
              <w:rPr>
                <w:rFonts w:cs="Arial"/>
                <w:b/>
                <w:color w:val="000000"/>
                <w:sz w:val="22"/>
                <w:szCs w:val="22"/>
              </w:rPr>
              <w:t>S</w:t>
            </w:r>
            <w:r w:rsidRPr="004D2DD4">
              <w:rPr>
                <w:rFonts w:cs="Arial"/>
                <w:b/>
                <w:color w:val="000000"/>
                <w:sz w:val="22"/>
                <w:szCs w:val="22"/>
              </w:rPr>
              <w:t xml:space="preserve"> A QUIEN</w:t>
            </w:r>
            <w:r w:rsidRPr="004D2DD4" w:rsidR="00795C6B">
              <w:rPr>
                <w:rFonts w:cs="Arial"/>
                <w:b/>
                <w:color w:val="000000"/>
                <w:sz w:val="22"/>
                <w:szCs w:val="22"/>
              </w:rPr>
              <w:t>ES</w:t>
            </w:r>
            <w:r w:rsidRPr="004D2DD4">
              <w:rPr>
                <w:rFonts w:cs="Arial"/>
                <w:b/>
                <w:color w:val="000000"/>
                <w:sz w:val="22"/>
                <w:szCs w:val="22"/>
              </w:rPr>
              <w:t xml:space="preserve"> VA DIRIGIDO</w:t>
            </w:r>
          </w:p>
          <w:p w:rsidR="00632953" w:rsidP="00632953" w:rsidRDefault="00632953" w14:paraId="795C3B2B" w14:textId="6256D4AF">
            <w:pPr>
              <w:pStyle w:val="Listavistosa-nfasis11"/>
              <w:spacing w:line="240" w:lineRule="auto"/>
              <w:ind w:left="494"/>
              <w:jc w:val="both"/>
              <w:rPr>
                <w:rFonts w:ascii="Arial" w:hAnsi="Arial" w:cs="Arial"/>
                <w:iCs/>
                <w:sz w:val="20"/>
                <w:szCs w:val="20"/>
              </w:rPr>
            </w:pPr>
          </w:p>
          <w:p w:rsidRPr="00AD21C1" w:rsidR="00795C6B" w:rsidP="620B8672" w:rsidRDefault="00632953" w14:paraId="5D0EE678" w14:textId="7FDB87E7">
            <w:pPr>
              <w:pStyle w:val="Listavistosa-nfasis11"/>
              <w:spacing w:after="0" w:line="240" w:lineRule="auto"/>
              <w:ind w:left="414" w:right="142"/>
              <w:jc w:val="both"/>
              <w:rPr>
                <w:rFonts w:ascii="Arial" w:hAnsi="Arial" w:cs="Arial"/>
                <w:sz w:val="20"/>
                <w:szCs w:val="20"/>
              </w:rPr>
            </w:pPr>
            <w:r w:rsidRPr="620B8672">
              <w:rPr>
                <w:rFonts w:ascii="Arial" w:hAnsi="Arial" w:cs="Arial"/>
                <w:sz w:val="20"/>
                <w:szCs w:val="20"/>
              </w:rPr>
              <w:t>El ámbito de aplicación del presente proyecto normativo son los operadores del servicio de televisión abierta radiodifundida</w:t>
            </w:r>
            <w:r w:rsidRPr="620B8672" w:rsidR="48630816">
              <w:rPr>
                <w:rFonts w:ascii="Arial" w:hAnsi="Arial" w:cs="Arial"/>
                <w:sz w:val="20"/>
                <w:szCs w:val="20"/>
              </w:rPr>
              <w:t xml:space="preserve"> de carácter privado</w:t>
            </w:r>
            <w:r w:rsidRPr="620B8672">
              <w:rPr>
                <w:rFonts w:ascii="Arial" w:hAnsi="Arial" w:cs="Arial"/>
                <w:sz w:val="20"/>
                <w:szCs w:val="20"/>
              </w:rPr>
              <w:t xml:space="preserve"> en todos los ámbitos de cobertura, con excepción del operador publico nacional RTVC y operadores regionales. </w:t>
            </w:r>
          </w:p>
          <w:p w:rsidR="00795C6B" w:rsidP="0075705D" w:rsidRDefault="00795C6B" w14:paraId="43041B0B" w14:textId="77777777">
            <w:pPr>
              <w:rPr>
                <w:rFonts w:cs="Arial"/>
                <w:b/>
                <w:color w:val="000000"/>
                <w:sz w:val="22"/>
                <w:szCs w:val="22"/>
              </w:rPr>
            </w:pPr>
          </w:p>
          <w:p w:rsidR="009E08CA" w:rsidP="0075705D" w:rsidRDefault="009E08CA" w14:paraId="635343D1" w14:textId="77777777">
            <w:pPr>
              <w:rPr>
                <w:rFonts w:cs="Arial"/>
                <w:b/>
                <w:color w:val="000000"/>
                <w:sz w:val="22"/>
                <w:szCs w:val="22"/>
              </w:rPr>
            </w:pPr>
          </w:p>
          <w:p w:rsidRPr="009F7CED" w:rsidR="009E08CA" w:rsidP="0075705D" w:rsidRDefault="009E08CA" w14:paraId="33CB66DC" w14:textId="77777777">
            <w:pPr>
              <w:rPr>
                <w:rFonts w:cs="Arial"/>
                <w:iCs/>
                <w:color w:val="000000"/>
                <w:sz w:val="22"/>
                <w:szCs w:val="22"/>
              </w:rPr>
            </w:pPr>
          </w:p>
        </w:tc>
      </w:tr>
      <w:tr w:rsidRPr="009F7CED" w:rsidR="00DF60FD" w:rsidTr="620B8672" w14:paraId="568C284A" w14:textId="77777777">
        <w:trPr>
          <w:trHeight w:val="278"/>
        </w:trPr>
        <w:tc>
          <w:tcPr>
            <w:tcW w:w="10774" w:type="dxa"/>
            <w:gridSpan w:val="3"/>
            <w:tcBorders>
              <w:bottom w:val="single" w:color="auto" w:sz="4" w:space="0"/>
            </w:tcBorders>
            <w:shd w:val="clear" w:color="auto" w:fill="FFFFFF" w:themeFill="background1"/>
            <w:vAlign w:val="center"/>
          </w:tcPr>
          <w:p w:rsidR="009E08CA" w:rsidP="00A4633D" w:rsidRDefault="00AD21C1" w14:paraId="59954E81" w14:textId="77777777">
            <w:pPr>
              <w:rPr>
                <w:rFonts w:cs="Arial"/>
                <w:b/>
                <w:color w:val="000000"/>
                <w:sz w:val="22"/>
                <w:szCs w:val="22"/>
              </w:rPr>
            </w:pPr>
            <w:r>
              <w:rPr>
                <w:rFonts w:cs="Arial"/>
                <w:b/>
                <w:color w:val="000000"/>
                <w:sz w:val="22"/>
                <w:szCs w:val="22"/>
              </w:rPr>
              <w:t xml:space="preserve"> </w:t>
            </w:r>
          </w:p>
          <w:p w:rsidRPr="004D2DD4" w:rsidR="00DF60FD" w:rsidP="004D2DD4" w:rsidRDefault="00DF60FD" w14:paraId="3440EB42" w14:textId="5BA02799">
            <w:pPr>
              <w:pStyle w:val="Prrafodelista"/>
              <w:numPr>
                <w:ilvl w:val="0"/>
                <w:numId w:val="46"/>
              </w:numPr>
              <w:rPr>
                <w:rFonts w:cs="Arial"/>
                <w:b/>
                <w:color w:val="000000"/>
                <w:sz w:val="22"/>
                <w:szCs w:val="22"/>
              </w:rPr>
            </w:pPr>
            <w:r w:rsidRPr="004D2DD4">
              <w:rPr>
                <w:rFonts w:cs="Arial"/>
                <w:b/>
                <w:color w:val="000000"/>
                <w:sz w:val="22"/>
                <w:szCs w:val="22"/>
              </w:rPr>
              <w:t>VIABILIDAD JURÍDICA</w:t>
            </w:r>
          </w:p>
          <w:p w:rsidRPr="00084B49" w:rsidR="004D2DD4" w:rsidP="00A4633D" w:rsidRDefault="004D2DD4" w14:paraId="054B4A6E" w14:textId="77777777">
            <w:pPr>
              <w:rPr>
                <w:rFonts w:cs="Arial"/>
                <w:i/>
                <w:color w:val="808080"/>
                <w:sz w:val="22"/>
                <w:szCs w:val="22"/>
              </w:rPr>
            </w:pPr>
          </w:p>
          <w:p w:rsidR="00795C6B" w:rsidP="620B8672" w:rsidRDefault="00795C6B" w14:paraId="721D783D" w14:textId="2088829D">
            <w:pPr>
              <w:spacing w:line="259" w:lineRule="auto"/>
              <w:ind w:left="494" w:firstLine="62"/>
              <w:jc w:val="both"/>
              <w:rPr>
                <w:rFonts w:cs="Arial"/>
                <w:sz w:val="22"/>
                <w:szCs w:val="22"/>
                <w:lang w:val="es-CO" w:eastAsia="es-CO"/>
              </w:rPr>
            </w:pPr>
            <w:r w:rsidRPr="620B8672">
              <w:rPr>
                <w:rFonts w:cs="Arial"/>
                <w:sz w:val="22"/>
                <w:szCs w:val="22"/>
                <w:lang w:val="es-CO" w:eastAsia="es-CO"/>
              </w:rPr>
              <w:t>3.1 Análisis de las normas que otorgan la competencia para la expedición del proyecto normativo</w:t>
            </w:r>
            <w:r w:rsidRPr="620B8672" w:rsidR="40CA8117">
              <w:rPr>
                <w:rFonts w:cs="Arial"/>
                <w:sz w:val="22"/>
                <w:szCs w:val="22"/>
                <w:lang w:val="es-CO" w:eastAsia="es-CO"/>
              </w:rPr>
              <w:t>.</w:t>
            </w:r>
          </w:p>
          <w:p w:rsidRPr="00AD21C1" w:rsidR="00AD21C1" w:rsidP="00A4633D" w:rsidRDefault="00AD21C1" w14:paraId="26205FFF" w14:textId="77777777">
            <w:pPr>
              <w:ind w:left="556" w:right="142" w:hanging="283"/>
              <w:jc w:val="both"/>
              <w:rPr>
                <w:rFonts w:cs="Arial"/>
                <w:lang w:val="es-CO" w:eastAsia="es-CO"/>
              </w:rPr>
            </w:pPr>
          </w:p>
          <w:p w:rsidR="00AD21C1" w:rsidP="00A4633D" w:rsidRDefault="00AD21C1" w14:paraId="35749464" w14:textId="77B9B870">
            <w:pPr>
              <w:tabs>
                <w:tab w:val="left" w:pos="10440"/>
              </w:tabs>
              <w:ind w:left="556" w:right="142" w:hanging="5"/>
              <w:jc w:val="both"/>
              <w:rPr>
                <w:rFonts w:cs="Arial"/>
                <w:lang w:val="es-CO" w:eastAsia="es-CO"/>
              </w:rPr>
            </w:pPr>
            <w:r w:rsidRPr="00AD21C1">
              <w:rPr>
                <w:rFonts w:cs="Arial"/>
                <w:lang w:val="es-CO" w:eastAsia="es-CO"/>
              </w:rPr>
              <w:t>El literal d) del numeral 19 del artículo 18 de la Ley 1341 de 2009, señala que</w:t>
            </w:r>
            <w:r>
              <w:rPr>
                <w:rFonts w:cs="Arial"/>
                <w:lang w:val="es-CO" w:eastAsia="es-CO"/>
              </w:rPr>
              <w:t>,</w:t>
            </w:r>
            <w:r w:rsidRPr="00AD21C1">
              <w:rPr>
                <w:rFonts w:cs="Arial"/>
                <w:lang w:val="es-CO" w:eastAsia="es-CO"/>
              </w:rPr>
              <w:t xml:space="preserve"> es función del Ministerio de Tecnologías de la Información y las Comunicaciones, expedir y administrar las contraprestaciones que le corresponden por Ley, a saber:</w:t>
            </w:r>
          </w:p>
          <w:p w:rsidRPr="00AD21C1" w:rsidR="00AD21C1" w:rsidP="00A4633D" w:rsidRDefault="00AD21C1" w14:paraId="06F0D9C4" w14:textId="77777777">
            <w:pPr>
              <w:tabs>
                <w:tab w:val="left" w:pos="10440"/>
              </w:tabs>
              <w:ind w:left="556" w:right="142" w:hanging="5"/>
              <w:jc w:val="both"/>
              <w:rPr>
                <w:rFonts w:cs="Arial"/>
                <w:lang w:val="es-CO" w:eastAsia="es-CO"/>
              </w:rPr>
            </w:pPr>
          </w:p>
          <w:p w:rsidR="00AD21C1" w:rsidP="00A4633D" w:rsidRDefault="00AD21C1" w14:paraId="546D96CB" w14:textId="77777777">
            <w:pPr>
              <w:ind w:left="840" w:right="142" w:hanging="5"/>
              <w:jc w:val="both"/>
              <w:rPr>
                <w:rFonts w:cs="Arial"/>
                <w:i/>
                <w:iCs/>
                <w:lang w:val="es-CO" w:eastAsia="es-CO"/>
              </w:rPr>
            </w:pPr>
            <w:r w:rsidRPr="00AD21C1">
              <w:rPr>
                <w:rFonts w:cs="Arial"/>
                <w:lang w:val="es-CO" w:eastAsia="es-CO"/>
              </w:rPr>
              <w:t>“</w:t>
            </w:r>
            <w:r w:rsidRPr="00AD21C1">
              <w:rPr>
                <w:rFonts w:cs="Arial"/>
                <w:i/>
                <w:iCs/>
                <w:lang w:val="es-CO" w:eastAsia="es-CO"/>
              </w:rPr>
              <w:t>19. Preparar y expedir los actos administrativos, para los fines que se relacionan a continuación:</w:t>
            </w:r>
          </w:p>
          <w:p w:rsidRPr="00AD21C1" w:rsidR="00AD21C1" w:rsidP="00A4633D" w:rsidRDefault="00AD21C1" w14:paraId="2472C7FD" w14:textId="77777777">
            <w:pPr>
              <w:ind w:left="840" w:right="142" w:hanging="5"/>
              <w:jc w:val="both"/>
              <w:rPr>
                <w:rFonts w:cs="Arial"/>
                <w:i/>
                <w:iCs/>
                <w:lang w:val="es-CO" w:eastAsia="es-CO"/>
              </w:rPr>
            </w:pPr>
          </w:p>
          <w:p w:rsidR="00AD21C1" w:rsidP="00A4633D" w:rsidRDefault="00AD21C1" w14:paraId="0B3EDB1E" w14:textId="77777777">
            <w:pPr>
              <w:ind w:left="840" w:right="142" w:hanging="5"/>
              <w:jc w:val="both"/>
              <w:rPr>
                <w:rFonts w:cs="Arial"/>
                <w:i/>
                <w:iCs/>
                <w:lang w:val="es-CO" w:eastAsia="es-CO"/>
              </w:rPr>
            </w:pPr>
            <w:r w:rsidRPr="00AD21C1">
              <w:rPr>
                <w:rFonts w:cs="Arial"/>
                <w:i/>
                <w:iCs/>
                <w:lang w:val="es-CO" w:eastAsia="es-CO"/>
              </w:rPr>
              <w:t>(…)</w:t>
            </w:r>
          </w:p>
          <w:p w:rsidRPr="00AD21C1" w:rsidR="00AD21C1" w:rsidP="00A4633D" w:rsidRDefault="00AD21C1" w14:paraId="54010DB2" w14:textId="77777777">
            <w:pPr>
              <w:ind w:left="840" w:right="142" w:hanging="5"/>
              <w:jc w:val="both"/>
              <w:rPr>
                <w:rFonts w:cs="Arial"/>
                <w:i/>
                <w:iCs/>
                <w:lang w:val="es-CO" w:eastAsia="es-CO"/>
              </w:rPr>
            </w:pPr>
          </w:p>
          <w:p w:rsidR="00AD21C1" w:rsidP="00A4633D" w:rsidRDefault="00AD21C1" w14:paraId="0568BA8F" w14:textId="77777777">
            <w:pPr>
              <w:ind w:left="840" w:right="142" w:hanging="5"/>
              <w:jc w:val="both"/>
              <w:rPr>
                <w:rFonts w:cs="Arial"/>
                <w:lang w:val="es-CO" w:eastAsia="es-CO"/>
              </w:rPr>
            </w:pPr>
            <w:r w:rsidRPr="00AD21C1">
              <w:rPr>
                <w:rFonts w:cs="Arial"/>
                <w:i/>
                <w:iCs/>
                <w:lang w:val="es-CO" w:eastAsia="es-CO"/>
              </w:rPr>
              <w:t>d). Expedir y administrar las contraprestaciones que le corresponden por ley</w:t>
            </w:r>
            <w:r w:rsidRPr="00AD21C1">
              <w:rPr>
                <w:rFonts w:cs="Arial"/>
                <w:lang w:val="es-CO" w:eastAsia="es-CO"/>
              </w:rPr>
              <w:t>”</w:t>
            </w:r>
          </w:p>
          <w:p w:rsidRPr="00AD21C1" w:rsidR="00AD21C1" w:rsidP="00A4633D" w:rsidRDefault="00AD21C1" w14:paraId="46F6D093" w14:textId="77777777">
            <w:pPr>
              <w:ind w:left="840" w:right="142" w:hanging="5"/>
              <w:jc w:val="both"/>
              <w:rPr>
                <w:rFonts w:cs="Arial"/>
                <w:lang w:val="es-CO" w:eastAsia="es-CO"/>
              </w:rPr>
            </w:pPr>
          </w:p>
          <w:p w:rsidR="00AD21C1" w:rsidP="00A4633D" w:rsidRDefault="00AD21C1" w14:paraId="1DC9BD51" w14:textId="42DF502D">
            <w:pPr>
              <w:ind w:left="556" w:right="142" w:hanging="5"/>
              <w:jc w:val="both"/>
              <w:rPr>
                <w:rFonts w:cs="Arial"/>
                <w:lang w:val="es-CO" w:eastAsia="es-CO"/>
              </w:rPr>
            </w:pPr>
            <w:r w:rsidRPr="00AD21C1">
              <w:rPr>
                <w:rFonts w:cs="Arial"/>
                <w:lang w:val="es-CO" w:eastAsia="es-CO"/>
              </w:rPr>
              <w:t>El numeral 24 del artículo 18 de la Ley 1341 de 2009, modificado por el artículo 14 de la Ley 1978 de 2019, establece que</w:t>
            </w:r>
            <w:r>
              <w:rPr>
                <w:rFonts w:cs="Arial"/>
                <w:lang w:val="es-CO" w:eastAsia="es-CO"/>
              </w:rPr>
              <w:t>,</w:t>
            </w:r>
            <w:r w:rsidRPr="00AD21C1">
              <w:rPr>
                <w:rFonts w:cs="Arial"/>
                <w:lang w:val="es-CO" w:eastAsia="es-CO"/>
              </w:rPr>
              <w:t xml:space="preserve"> le corresponde al Ministerio de Tecnologías de la Información y las Comunicaciones fijar las tarifas, tasas y derechos, asociados a la concesión, a que se refiere la Ley 182 de 1995, indicando:</w:t>
            </w:r>
          </w:p>
          <w:p w:rsidRPr="00AD21C1" w:rsidR="00AD21C1" w:rsidP="00A4633D" w:rsidRDefault="00AD21C1" w14:paraId="44F9B841" w14:textId="77777777">
            <w:pPr>
              <w:ind w:left="556" w:right="142" w:hanging="5"/>
              <w:jc w:val="both"/>
              <w:rPr>
                <w:rFonts w:cs="Arial"/>
                <w:lang w:val="es-CO" w:eastAsia="es-CO"/>
              </w:rPr>
            </w:pPr>
          </w:p>
          <w:p w:rsidR="00AD21C1" w:rsidP="00A4633D" w:rsidRDefault="00AD21C1" w14:paraId="5F709D32" w14:textId="77777777">
            <w:pPr>
              <w:ind w:left="840" w:right="142" w:hanging="5"/>
              <w:jc w:val="both"/>
              <w:rPr>
                <w:rFonts w:cs="Arial"/>
                <w:i/>
                <w:iCs/>
                <w:lang w:val="es-CO" w:eastAsia="es-CO"/>
              </w:rPr>
            </w:pPr>
            <w:r w:rsidRPr="00AD21C1">
              <w:rPr>
                <w:rFonts w:cs="Arial"/>
                <w:i/>
                <w:iCs/>
                <w:lang w:val="es-CO" w:eastAsia="es-CO"/>
              </w:rPr>
              <w:t>“24. Fijar las tarifas, tasas y derechos, asociados a la concesión, a que se refiere la Ley 182 de 1995. En materia del pago de la contraprestación los operadores públicos del servicio de televisión mantendrán las exenciones y excepciones que les sean aplicables a la fecha de entrada en vigencia de la presente Ley”</w:t>
            </w:r>
          </w:p>
          <w:p w:rsidRPr="00AD21C1" w:rsidR="00AD21C1" w:rsidP="00A4633D" w:rsidRDefault="00AD21C1" w14:paraId="0C72847E" w14:textId="77777777">
            <w:pPr>
              <w:ind w:left="840" w:right="142" w:hanging="5"/>
              <w:jc w:val="both"/>
              <w:rPr>
                <w:rFonts w:cs="Arial"/>
                <w:i/>
                <w:iCs/>
                <w:lang w:val="es-CO" w:eastAsia="es-CO"/>
              </w:rPr>
            </w:pPr>
          </w:p>
          <w:p w:rsidR="00AD21C1" w:rsidP="00A4633D" w:rsidRDefault="00AD21C1" w14:paraId="7E4B8005" w14:textId="63CFC575">
            <w:pPr>
              <w:ind w:left="556" w:right="142" w:hanging="5"/>
              <w:jc w:val="both"/>
              <w:rPr>
                <w:rFonts w:cs="Arial"/>
                <w:lang w:val="es-CO" w:eastAsia="es-CO"/>
              </w:rPr>
            </w:pPr>
            <w:r w:rsidRPr="00AD21C1">
              <w:rPr>
                <w:rFonts w:cs="Arial"/>
                <w:lang w:val="es-CO" w:eastAsia="es-CO"/>
              </w:rPr>
              <w:t xml:space="preserve">Finalmente, el numeral 7 del artículo 5 del Decreto 1064 de 2020, </w:t>
            </w:r>
            <w:r>
              <w:rPr>
                <w:rFonts w:cs="Arial"/>
                <w:lang w:val="es-CO" w:eastAsia="es-CO"/>
              </w:rPr>
              <w:t>dispone</w:t>
            </w:r>
            <w:r w:rsidRPr="00AD21C1">
              <w:rPr>
                <w:rFonts w:cs="Arial"/>
                <w:lang w:val="es-CO" w:eastAsia="es-CO"/>
              </w:rPr>
              <w:t xml:space="preserve"> que</w:t>
            </w:r>
            <w:r>
              <w:rPr>
                <w:rFonts w:cs="Arial"/>
                <w:lang w:val="es-CO" w:eastAsia="es-CO"/>
              </w:rPr>
              <w:t>,</w:t>
            </w:r>
            <w:r w:rsidRPr="00AD21C1">
              <w:rPr>
                <w:rFonts w:cs="Arial"/>
                <w:lang w:val="es-CO" w:eastAsia="es-CO"/>
              </w:rPr>
              <w:t xml:space="preserve"> son funciones del Despacho del Ministro de Tecnologías de la Información y las Comunicaciones, entre otros, expedir los actos administrativos relacionados con las condiciones de operación, explotación de redes y servicios, como es el cas</w:t>
            </w:r>
            <w:r w:rsidR="008448CA">
              <w:rPr>
                <w:rFonts w:cs="Arial"/>
                <w:lang w:val="es-CO" w:eastAsia="es-CO"/>
              </w:rPr>
              <w:t>o</w:t>
            </w:r>
            <w:r w:rsidRPr="00AD21C1">
              <w:rPr>
                <w:rFonts w:cs="Arial"/>
                <w:lang w:val="es-CO" w:eastAsia="es-CO"/>
              </w:rPr>
              <w:t xml:space="preserve"> de las tarifas aplicables por la asignación y uso de frecuencias en el servicio de televisión abierta</w:t>
            </w:r>
            <w:r>
              <w:rPr>
                <w:rFonts w:cs="Arial"/>
                <w:lang w:val="es-CO" w:eastAsia="es-CO"/>
              </w:rPr>
              <w:t>:</w:t>
            </w:r>
          </w:p>
          <w:p w:rsidRPr="00AD21C1" w:rsidR="00AD21C1" w:rsidP="00A4633D" w:rsidRDefault="00AD21C1" w14:paraId="5D485B53" w14:textId="77777777">
            <w:pPr>
              <w:ind w:left="556" w:right="142" w:hanging="5"/>
              <w:jc w:val="both"/>
              <w:rPr>
                <w:rFonts w:cs="Arial"/>
                <w:lang w:val="es-CO" w:eastAsia="es-CO"/>
              </w:rPr>
            </w:pPr>
          </w:p>
          <w:p w:rsidRPr="00AD21C1" w:rsidR="00AD21C1" w:rsidP="00A4633D" w:rsidRDefault="00AD21C1" w14:paraId="317B3F7F" w14:textId="77777777">
            <w:pPr>
              <w:ind w:left="840" w:right="142"/>
              <w:jc w:val="both"/>
              <w:rPr>
                <w:rFonts w:cs="Arial"/>
                <w:i/>
                <w:iCs/>
                <w:lang w:val="es-CO" w:eastAsia="es-CO"/>
              </w:rPr>
            </w:pPr>
            <w:r w:rsidRPr="00AD21C1">
              <w:rPr>
                <w:rFonts w:cs="Arial"/>
                <w:i/>
                <w:iCs/>
                <w:lang w:val="es-CO" w:eastAsia="es-CO"/>
              </w:rPr>
              <w:t>“Expedir los actos administrativos para establecer las condiciones generales de operación, explotación comercial de redes y servicios que soportan las tecnologías de la información y las comunicaciones que no se encuentren asignados por la ley a otros organismos o entidades de la administración pública”</w:t>
            </w:r>
          </w:p>
          <w:p w:rsidR="00795C6B" w:rsidP="00A4633D" w:rsidRDefault="00795C6B" w14:paraId="0639340E" w14:textId="77777777">
            <w:pPr>
              <w:ind w:right="142"/>
              <w:jc w:val="both"/>
              <w:rPr>
                <w:rFonts w:cs="Arial"/>
                <w:lang w:val="es-CO" w:eastAsia="es-CO"/>
              </w:rPr>
            </w:pPr>
          </w:p>
          <w:p w:rsidRPr="00AD21C1" w:rsidR="009E08CA" w:rsidP="00A4633D" w:rsidRDefault="009E08CA" w14:paraId="6C29BEA5" w14:textId="77777777">
            <w:pPr>
              <w:ind w:right="142"/>
              <w:jc w:val="both"/>
              <w:rPr>
                <w:rFonts w:cs="Arial"/>
                <w:lang w:val="es-CO" w:eastAsia="es-CO"/>
              </w:rPr>
            </w:pPr>
          </w:p>
          <w:p w:rsidR="00795C6B" w:rsidP="004D2DD4" w:rsidRDefault="00795C6B" w14:paraId="5B8EAEC3" w14:textId="77777777">
            <w:pPr>
              <w:ind w:left="494" w:firstLine="62"/>
              <w:jc w:val="both"/>
              <w:rPr>
                <w:rFonts w:cs="Arial"/>
                <w:sz w:val="22"/>
                <w:szCs w:val="22"/>
                <w:lang w:val="es-CO" w:eastAsia="es-CO"/>
              </w:rPr>
            </w:pPr>
            <w:r>
              <w:rPr>
                <w:rFonts w:cs="Arial"/>
                <w:sz w:val="22"/>
                <w:szCs w:val="22"/>
                <w:lang w:val="es-CO" w:eastAsia="es-CO"/>
              </w:rPr>
              <w:t>3.2 Vigencia de la ley o norma reglamentada o desarrollada</w:t>
            </w:r>
          </w:p>
          <w:p w:rsidR="00A4633D" w:rsidP="00A4633D" w:rsidRDefault="00A4633D" w14:paraId="168E7DDC" w14:textId="77777777">
            <w:pPr>
              <w:ind w:left="494" w:hanging="283"/>
              <w:jc w:val="both"/>
              <w:rPr>
                <w:rFonts w:cs="Arial"/>
                <w:sz w:val="22"/>
                <w:szCs w:val="22"/>
                <w:lang w:val="es-CO" w:eastAsia="es-CO"/>
              </w:rPr>
            </w:pPr>
          </w:p>
          <w:p w:rsidRPr="00A4633D" w:rsidR="00A4633D" w:rsidP="00A4633D" w:rsidRDefault="00A4633D" w14:paraId="7054DB29" w14:textId="7A0B1624">
            <w:pPr>
              <w:ind w:left="556" w:right="142"/>
              <w:jc w:val="both"/>
              <w:rPr>
                <w:rFonts w:cs="Arial"/>
                <w:lang w:val="es-CO" w:eastAsia="es-CO"/>
              </w:rPr>
            </w:pPr>
            <w:r w:rsidRPr="620B8672">
              <w:rPr>
                <w:rFonts w:cs="Arial"/>
              </w:rPr>
              <w:t>La Resolución 429 de 1997 “</w:t>
            </w:r>
            <w:r w:rsidRPr="620B8672">
              <w:rPr>
                <w:rFonts w:cs="Arial"/>
                <w:i/>
                <w:iCs/>
              </w:rPr>
              <w:t>Por la cual se fijan las tarifas por asignación y uso de las frecuencias para los canales nacional de operación privada”</w:t>
            </w:r>
            <w:r w:rsidRPr="620B8672">
              <w:rPr>
                <w:rFonts w:cs="Arial"/>
              </w:rPr>
              <w:t xml:space="preserve"> y la Resolución 111 de 1998 </w:t>
            </w:r>
            <w:r w:rsidRPr="620B8672">
              <w:rPr>
                <w:rFonts w:cs="Arial"/>
                <w:i/>
                <w:iCs/>
              </w:rPr>
              <w:t>“Por la cual se fijan las tarifas por la asignación de las frecuencias para las Estaciones Locales con y sin ánimo de lucro”,</w:t>
            </w:r>
            <w:r w:rsidRPr="620B8672">
              <w:rPr>
                <w:rFonts w:cs="Arial"/>
              </w:rPr>
              <w:t xml:space="preserve"> son actos administrativos vigentes constitutivos de las tarifas que </w:t>
            </w:r>
            <w:r w:rsidRPr="620B8672" w:rsidR="701E51C2">
              <w:rPr>
                <w:rFonts w:cs="Arial"/>
              </w:rPr>
              <w:t xml:space="preserve">se </w:t>
            </w:r>
            <w:r w:rsidRPr="620B8672">
              <w:rPr>
                <w:rFonts w:cs="Arial"/>
              </w:rPr>
              <w:t>actualizan, aplicando la metodología en ellas prevista</w:t>
            </w:r>
            <w:r w:rsidRPr="620B8672" w:rsidR="04980D5E">
              <w:rPr>
                <w:rFonts w:cs="Arial"/>
              </w:rPr>
              <w:t>s</w:t>
            </w:r>
            <w:r w:rsidRPr="620B8672" w:rsidR="008448CA">
              <w:rPr>
                <w:rFonts w:cs="Arial"/>
              </w:rPr>
              <w:t>.</w:t>
            </w:r>
          </w:p>
          <w:p w:rsidR="00795C6B" w:rsidP="00A4633D" w:rsidRDefault="00795C6B" w14:paraId="0BD35917" w14:textId="77777777">
            <w:pPr>
              <w:ind w:left="494" w:hanging="283"/>
              <w:jc w:val="both"/>
              <w:rPr>
                <w:rFonts w:cs="Arial"/>
                <w:sz w:val="22"/>
                <w:szCs w:val="22"/>
                <w:lang w:val="es-CO" w:eastAsia="es-CO"/>
              </w:rPr>
            </w:pPr>
          </w:p>
          <w:p w:rsidR="009E08CA" w:rsidP="00A4633D" w:rsidRDefault="009E08CA" w14:paraId="0FB7510E" w14:textId="77777777">
            <w:pPr>
              <w:ind w:left="494" w:hanging="283"/>
              <w:jc w:val="both"/>
              <w:rPr>
                <w:rFonts w:cs="Arial"/>
                <w:sz w:val="22"/>
                <w:szCs w:val="22"/>
                <w:lang w:val="es-CO" w:eastAsia="es-CO"/>
              </w:rPr>
            </w:pPr>
          </w:p>
          <w:p w:rsidR="00795C6B" w:rsidP="004D2DD4" w:rsidRDefault="00795C6B" w14:paraId="460D908F" w14:textId="77777777">
            <w:pPr>
              <w:ind w:left="494" w:firstLine="62"/>
              <w:jc w:val="both"/>
              <w:rPr>
                <w:rFonts w:cs="Arial"/>
                <w:sz w:val="22"/>
                <w:szCs w:val="22"/>
                <w:lang w:val="es-CO" w:eastAsia="es-CO"/>
              </w:rPr>
            </w:pPr>
            <w:r>
              <w:rPr>
                <w:rFonts w:cs="Arial"/>
                <w:sz w:val="22"/>
                <w:szCs w:val="22"/>
                <w:lang w:val="es-CO" w:eastAsia="es-CO"/>
              </w:rPr>
              <w:t>3.3. Disposiciones derogas, subrogadas, modificadas, adicionadas</w:t>
            </w:r>
            <w:r w:rsidR="00D05B67">
              <w:rPr>
                <w:rFonts w:cs="Arial"/>
                <w:sz w:val="22"/>
                <w:szCs w:val="22"/>
                <w:lang w:val="es-CO" w:eastAsia="es-CO"/>
              </w:rPr>
              <w:t xml:space="preserve"> o sustituidas </w:t>
            </w:r>
          </w:p>
          <w:p w:rsidR="00A4633D" w:rsidP="00A4633D" w:rsidRDefault="00A4633D" w14:paraId="765FD8FD" w14:textId="77777777">
            <w:pPr>
              <w:jc w:val="both"/>
              <w:rPr>
                <w:rFonts w:cs="Arial"/>
                <w:sz w:val="22"/>
                <w:szCs w:val="22"/>
                <w:lang w:val="es-CO" w:eastAsia="es-CO"/>
              </w:rPr>
            </w:pPr>
          </w:p>
          <w:p w:rsidRPr="00A4633D" w:rsidR="00A4633D" w:rsidP="00A4633D" w:rsidRDefault="00A4633D" w14:paraId="0758612C" w14:textId="3608BE45">
            <w:pPr>
              <w:jc w:val="both"/>
              <w:rPr>
                <w:rFonts w:cs="Arial"/>
                <w:lang w:val="es-CO" w:eastAsia="es-CO"/>
              </w:rPr>
            </w:pPr>
            <w:r>
              <w:rPr>
                <w:rFonts w:cs="Arial"/>
                <w:lang w:val="es-CO" w:eastAsia="es-CO"/>
              </w:rPr>
              <w:t xml:space="preserve">           Ninguna.</w:t>
            </w:r>
          </w:p>
          <w:p w:rsidR="00A4633D" w:rsidP="00A4633D" w:rsidRDefault="00A4633D" w14:paraId="32771EB8" w14:textId="77777777">
            <w:pPr>
              <w:ind w:left="494" w:hanging="283"/>
              <w:jc w:val="both"/>
              <w:rPr>
                <w:rFonts w:cs="Arial"/>
                <w:sz w:val="22"/>
                <w:szCs w:val="22"/>
                <w:lang w:val="es-CO" w:eastAsia="es-CO"/>
              </w:rPr>
            </w:pPr>
          </w:p>
          <w:p w:rsidR="009E08CA" w:rsidP="00A4633D" w:rsidRDefault="009E08CA" w14:paraId="3D4CC915" w14:textId="77777777">
            <w:pPr>
              <w:ind w:left="494" w:hanging="283"/>
              <w:jc w:val="both"/>
              <w:rPr>
                <w:rFonts w:cs="Arial"/>
                <w:sz w:val="22"/>
                <w:szCs w:val="22"/>
                <w:lang w:val="es-CO" w:eastAsia="es-CO"/>
              </w:rPr>
            </w:pPr>
          </w:p>
          <w:p w:rsidR="00D05B67" w:rsidP="004D2DD4" w:rsidRDefault="00D05B67" w14:paraId="03C83369" w14:textId="77777777">
            <w:pPr>
              <w:ind w:left="556" w:right="142"/>
              <w:jc w:val="both"/>
              <w:rPr>
                <w:rFonts w:cs="Arial"/>
                <w:sz w:val="22"/>
                <w:szCs w:val="22"/>
                <w:lang w:val="es-CO" w:eastAsia="es-CO"/>
              </w:rPr>
            </w:pPr>
            <w:r>
              <w:rPr>
                <w:rFonts w:cs="Arial"/>
                <w:sz w:val="22"/>
                <w:szCs w:val="22"/>
                <w:lang w:val="es-CO" w:eastAsia="es-CO"/>
              </w:rPr>
              <w:t>3.4 Revisión y análisis de la jurisprudencia que tenga impacto o sea relevante para la expedición del proyecto normativo (órganos de cierre de cada jurisdicción)</w:t>
            </w:r>
          </w:p>
          <w:p w:rsidR="00A4633D" w:rsidP="00A4633D" w:rsidRDefault="00A4633D" w14:paraId="703F726B" w14:textId="77777777">
            <w:pPr>
              <w:ind w:left="556"/>
              <w:jc w:val="both"/>
              <w:rPr>
                <w:rFonts w:cs="Arial"/>
                <w:sz w:val="22"/>
                <w:szCs w:val="22"/>
                <w:lang w:val="es-CO" w:eastAsia="es-CO"/>
              </w:rPr>
            </w:pPr>
          </w:p>
          <w:p w:rsidRPr="00A4633D" w:rsidR="00A4633D" w:rsidP="00A4633D" w:rsidRDefault="00A4633D" w14:paraId="6905C5B8" w14:textId="431AB5C9">
            <w:pPr>
              <w:ind w:left="494" w:hanging="80"/>
              <w:jc w:val="both"/>
              <w:rPr>
                <w:rFonts w:cs="Arial"/>
                <w:lang w:val="es-CO" w:eastAsia="es-CO"/>
              </w:rPr>
            </w:pPr>
            <w:r w:rsidRPr="00A4633D">
              <w:rPr>
                <w:rFonts w:cs="Arial"/>
                <w:lang w:val="es-CO" w:eastAsia="es-CO"/>
              </w:rPr>
              <w:t xml:space="preserve">   No hay jurisprudencia que deba ser tenida en cuenta para la expedición del presente proyecto</w:t>
            </w:r>
            <w:r>
              <w:rPr>
                <w:rFonts w:cs="Arial"/>
                <w:lang w:val="es-CO" w:eastAsia="es-CO"/>
              </w:rPr>
              <w:t>.</w:t>
            </w:r>
          </w:p>
          <w:p w:rsidR="00A4633D" w:rsidP="00A4633D" w:rsidRDefault="00A4633D" w14:paraId="49F7D106" w14:textId="77777777">
            <w:pPr>
              <w:ind w:left="494" w:hanging="283"/>
              <w:jc w:val="both"/>
              <w:rPr>
                <w:rFonts w:cs="Arial"/>
                <w:sz w:val="22"/>
                <w:szCs w:val="22"/>
                <w:lang w:val="es-CO" w:eastAsia="es-CO"/>
              </w:rPr>
            </w:pPr>
          </w:p>
          <w:p w:rsidR="004D2DD4" w:rsidP="00A4633D" w:rsidRDefault="004D2DD4" w14:paraId="64A0ED86" w14:textId="77777777">
            <w:pPr>
              <w:ind w:left="494" w:hanging="283"/>
              <w:jc w:val="both"/>
              <w:rPr>
                <w:rFonts w:cs="Arial"/>
                <w:sz w:val="22"/>
                <w:szCs w:val="22"/>
                <w:lang w:val="es-CO" w:eastAsia="es-CO"/>
              </w:rPr>
            </w:pPr>
          </w:p>
          <w:p w:rsidR="00D05B67" w:rsidP="004D2DD4" w:rsidRDefault="00D05B67" w14:paraId="7D154299" w14:textId="4A817CE3">
            <w:pPr>
              <w:ind w:left="494" w:firstLine="62"/>
              <w:jc w:val="both"/>
              <w:rPr>
                <w:rFonts w:cs="Arial"/>
                <w:sz w:val="22"/>
                <w:szCs w:val="22"/>
                <w:lang w:val="es-CO" w:eastAsia="es-CO"/>
              </w:rPr>
            </w:pPr>
            <w:r>
              <w:rPr>
                <w:rFonts w:cs="Arial"/>
                <w:sz w:val="22"/>
                <w:szCs w:val="22"/>
                <w:lang w:val="es-CO" w:eastAsia="es-CO"/>
              </w:rPr>
              <w:t xml:space="preserve">3.5 Circunstancias jurídicas adicionales </w:t>
            </w:r>
          </w:p>
          <w:p w:rsidR="00A4633D" w:rsidP="00A4633D" w:rsidRDefault="00A4633D" w14:paraId="3524C292" w14:textId="77777777">
            <w:pPr>
              <w:ind w:left="494" w:hanging="283"/>
              <w:jc w:val="both"/>
              <w:rPr>
                <w:rFonts w:cs="Arial"/>
                <w:sz w:val="22"/>
                <w:szCs w:val="22"/>
                <w:lang w:val="es-CO" w:eastAsia="es-CO"/>
              </w:rPr>
            </w:pPr>
          </w:p>
          <w:p w:rsidRPr="00A4633D" w:rsidR="00D05B67" w:rsidP="00A4633D" w:rsidRDefault="00A4633D" w14:paraId="33A8E311" w14:textId="2FCD076C">
            <w:pPr>
              <w:ind w:left="494" w:hanging="283"/>
              <w:jc w:val="both"/>
              <w:rPr>
                <w:rFonts w:cs="Arial"/>
                <w:lang w:val="es-CO" w:eastAsia="es-CO"/>
              </w:rPr>
            </w:pPr>
            <w:r w:rsidRPr="00A4633D">
              <w:rPr>
                <w:rFonts w:cs="Arial"/>
                <w:lang w:val="es-CO" w:eastAsia="es-CO"/>
              </w:rPr>
              <w:t xml:space="preserve">      No se advierten situaciones adicionales</w:t>
            </w:r>
            <w:r>
              <w:rPr>
                <w:rFonts w:cs="Arial"/>
                <w:lang w:val="es-CO" w:eastAsia="es-CO"/>
              </w:rPr>
              <w:t>.</w:t>
            </w:r>
          </w:p>
          <w:p w:rsidRPr="009F7CED" w:rsidR="00795C6B" w:rsidP="00A4633D" w:rsidRDefault="00795C6B" w14:paraId="74720DE6" w14:textId="77777777">
            <w:pPr>
              <w:jc w:val="both"/>
              <w:rPr>
                <w:rFonts w:cs="Arial"/>
                <w:sz w:val="22"/>
                <w:szCs w:val="22"/>
                <w:lang w:val="es-CO" w:eastAsia="es-CO"/>
              </w:rPr>
            </w:pPr>
          </w:p>
        </w:tc>
      </w:tr>
      <w:tr w:rsidRPr="009F7CED" w:rsidR="00DF60FD" w:rsidTr="620B8672" w14:paraId="6EEDB6EA" w14:textId="77777777">
        <w:trPr>
          <w:trHeight w:val="925"/>
        </w:trPr>
        <w:tc>
          <w:tcPr>
            <w:tcW w:w="1077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F7CED" w:rsidR="00843EFF" w:rsidP="00A161B9" w:rsidRDefault="00843EFF" w14:paraId="59F282E9" w14:textId="77777777">
            <w:pPr>
              <w:rPr>
                <w:rFonts w:cs="Arial"/>
                <w:b/>
                <w:color w:val="000000"/>
                <w:sz w:val="22"/>
                <w:szCs w:val="22"/>
              </w:rPr>
            </w:pPr>
          </w:p>
          <w:p w:rsidRPr="009F7CED" w:rsidR="00DF60FD" w:rsidP="00D05B67" w:rsidRDefault="00DF60FD" w14:paraId="4795114A" w14:textId="77777777">
            <w:pPr>
              <w:numPr>
                <w:ilvl w:val="0"/>
                <w:numId w:val="45"/>
              </w:numPr>
              <w:rPr>
                <w:rFonts w:cs="Arial"/>
                <w:b/>
                <w:color w:val="000000"/>
                <w:sz w:val="22"/>
                <w:szCs w:val="22"/>
              </w:rPr>
            </w:pPr>
            <w:r w:rsidRPr="009F7CED">
              <w:rPr>
                <w:rFonts w:cs="Arial"/>
                <w:b/>
                <w:color w:val="000000"/>
                <w:sz w:val="22"/>
                <w:szCs w:val="22"/>
              </w:rPr>
              <w:t xml:space="preserve">IMPACTO ECONÓMICO </w:t>
            </w:r>
            <w:r w:rsidRPr="00D05B67" w:rsidR="00D05B67">
              <w:rPr>
                <w:rFonts w:cs="Arial"/>
                <w:color w:val="000000"/>
                <w:sz w:val="22"/>
                <w:szCs w:val="22"/>
              </w:rPr>
              <w:t>(Si se requiere)</w:t>
            </w:r>
          </w:p>
          <w:p w:rsidR="00843EFF" w:rsidP="00A4633D" w:rsidRDefault="00843EFF" w14:paraId="4A36BFB5" w14:textId="77777777">
            <w:pPr>
              <w:pStyle w:val="Listavistosa-nfasis11"/>
              <w:spacing w:after="0" w:line="240" w:lineRule="auto"/>
              <w:jc w:val="both"/>
              <w:rPr>
                <w:rFonts w:ascii="Arial" w:hAnsi="Arial" w:cs="Arial"/>
                <w:i/>
                <w:color w:val="808080"/>
                <w:sz w:val="18"/>
              </w:rPr>
            </w:pPr>
          </w:p>
          <w:p w:rsidRPr="00A4633D" w:rsidR="00A4633D" w:rsidP="00A4633D" w:rsidRDefault="00A4633D" w14:paraId="31656429" w14:textId="3F66D671">
            <w:pPr>
              <w:pStyle w:val="Listavistosa-nfasis11"/>
              <w:spacing w:after="0" w:line="240" w:lineRule="auto"/>
              <w:ind w:right="142"/>
              <w:jc w:val="both"/>
              <w:rPr>
                <w:rFonts w:ascii="Arial" w:hAnsi="Arial" w:cs="Arial"/>
                <w:color w:val="000000"/>
                <w:sz w:val="20"/>
                <w:szCs w:val="20"/>
              </w:rPr>
            </w:pPr>
            <w:r w:rsidRPr="00A4633D">
              <w:rPr>
                <w:rFonts w:ascii="Arial" w:hAnsi="Arial" w:cs="Arial"/>
                <w:color w:val="000000"/>
                <w:sz w:val="20"/>
                <w:szCs w:val="20"/>
              </w:rPr>
              <w:t xml:space="preserve">El impacto económico es a favor del Fondo Único de Tecnologías de la Información y las Comunicaciones, en razón a que se establece la tarifa que deberán pagar los operadores de televisión abierta de operación privada nacional y local por el uso de las frecuencias asignadas, toda vez que aumenta el valor por frecuencia VHF en $293.979 y para UHF en $264.582. </w:t>
            </w:r>
          </w:p>
          <w:p w:rsidRPr="00A4633D" w:rsidR="00A4633D" w:rsidP="00A4633D" w:rsidRDefault="00A4633D" w14:paraId="19C057D5" w14:textId="77777777">
            <w:pPr>
              <w:pStyle w:val="Listavistosa-nfasis11"/>
              <w:spacing w:after="0" w:line="240" w:lineRule="auto"/>
              <w:ind w:right="142"/>
              <w:jc w:val="both"/>
              <w:rPr>
                <w:rFonts w:ascii="Arial" w:hAnsi="Arial" w:cs="Arial"/>
                <w:color w:val="000000"/>
                <w:sz w:val="20"/>
                <w:szCs w:val="20"/>
              </w:rPr>
            </w:pPr>
          </w:p>
          <w:p w:rsidRPr="00A4633D" w:rsidR="00A4633D" w:rsidP="00A4633D" w:rsidRDefault="00A4633D" w14:paraId="430DD1BA" w14:textId="77777777">
            <w:pPr>
              <w:pStyle w:val="Listavistosa-nfasis11"/>
              <w:spacing w:after="0" w:line="240" w:lineRule="auto"/>
              <w:ind w:right="142"/>
              <w:jc w:val="both"/>
              <w:rPr>
                <w:rFonts w:ascii="Arial" w:hAnsi="Arial" w:cs="Arial"/>
                <w:color w:val="000000"/>
                <w:sz w:val="20"/>
                <w:szCs w:val="20"/>
              </w:rPr>
            </w:pPr>
            <w:r w:rsidRPr="00A4633D">
              <w:rPr>
                <w:rFonts w:ascii="Arial" w:hAnsi="Arial" w:cs="Arial"/>
                <w:color w:val="000000"/>
                <w:sz w:val="20"/>
                <w:szCs w:val="20"/>
              </w:rPr>
              <w:t>Es de advertir que el proyecto de resolución actualiza una tarifa, por lo tanto, no crea nuevas obligaciones económicas para los operadores a quienes les aplica.</w:t>
            </w:r>
          </w:p>
          <w:p w:rsidRPr="00795C6B" w:rsidR="00A4633D" w:rsidP="00A4633D" w:rsidRDefault="00A4633D" w14:paraId="733FBAC9" w14:textId="02F63F2E">
            <w:pPr>
              <w:pStyle w:val="Listavistosa-nfasis11"/>
              <w:spacing w:after="0" w:line="240" w:lineRule="auto"/>
              <w:jc w:val="both"/>
              <w:rPr>
                <w:rFonts w:cs="Arial"/>
              </w:rPr>
            </w:pPr>
          </w:p>
        </w:tc>
      </w:tr>
      <w:tr w:rsidRPr="009F7CED" w:rsidR="00DF60FD" w:rsidTr="620B8672" w14:paraId="5561A09B" w14:textId="77777777">
        <w:trPr>
          <w:trHeight w:val="66"/>
        </w:trPr>
        <w:tc>
          <w:tcPr>
            <w:tcW w:w="1077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F7CED" w:rsidR="00843EFF" w:rsidP="00A161B9" w:rsidRDefault="00843EFF" w14:paraId="308F1FA0" w14:textId="77777777">
            <w:pPr>
              <w:rPr>
                <w:rFonts w:cs="Arial"/>
                <w:b/>
                <w:color w:val="000000"/>
                <w:sz w:val="22"/>
                <w:szCs w:val="22"/>
              </w:rPr>
            </w:pPr>
          </w:p>
          <w:p w:rsidRPr="009F7CED" w:rsidR="00DF60FD" w:rsidP="00D05B67" w:rsidRDefault="00795C6B" w14:paraId="7DBD1743" w14:textId="77777777">
            <w:pPr>
              <w:numPr>
                <w:ilvl w:val="0"/>
                <w:numId w:val="45"/>
              </w:numPr>
              <w:rPr>
                <w:rFonts w:cs="Arial"/>
                <w:b/>
                <w:color w:val="000000"/>
                <w:sz w:val="22"/>
                <w:szCs w:val="22"/>
              </w:rPr>
            </w:pPr>
            <w:r>
              <w:rPr>
                <w:rFonts w:cs="Arial"/>
                <w:b/>
                <w:color w:val="000000"/>
                <w:sz w:val="22"/>
                <w:szCs w:val="22"/>
              </w:rPr>
              <w:t xml:space="preserve">VIABILIDAD O </w:t>
            </w:r>
            <w:r w:rsidRPr="009F7CED" w:rsidR="00DF60FD">
              <w:rPr>
                <w:rFonts w:cs="Arial"/>
                <w:b/>
                <w:color w:val="000000"/>
                <w:sz w:val="22"/>
                <w:szCs w:val="22"/>
              </w:rPr>
              <w:t xml:space="preserve">DISPONIBILIDAD PRESUPUESTAL </w:t>
            </w:r>
            <w:r w:rsidRPr="00D05B67" w:rsidR="00D05B67">
              <w:rPr>
                <w:rFonts w:cs="Arial"/>
                <w:color w:val="000000"/>
                <w:sz w:val="22"/>
                <w:szCs w:val="22"/>
              </w:rPr>
              <w:t>(Si se requiere)</w:t>
            </w:r>
          </w:p>
          <w:p w:rsidR="00D05B67" w:rsidP="00D05B67" w:rsidRDefault="00D05B67" w14:paraId="5A3252E2" w14:textId="31BB0F01">
            <w:pPr>
              <w:pStyle w:val="Listavistosa-nfasis11"/>
              <w:jc w:val="both"/>
              <w:rPr>
                <w:rFonts w:ascii="Arial" w:hAnsi="Arial" w:cs="Arial"/>
                <w:i/>
                <w:color w:val="808080"/>
                <w:sz w:val="18"/>
              </w:rPr>
            </w:pPr>
          </w:p>
          <w:p w:rsidRPr="00A4633D" w:rsidR="00A4633D" w:rsidP="00A4633D" w:rsidRDefault="00A4633D" w14:paraId="31EDB884" w14:textId="4C7EA32C">
            <w:pPr>
              <w:ind w:left="840" w:right="142"/>
              <w:jc w:val="both"/>
              <w:rPr>
                <w:rFonts w:cs="Arial"/>
                <w:lang w:eastAsia="es-CO"/>
              </w:rPr>
            </w:pPr>
            <w:r w:rsidRPr="00A4633D">
              <w:rPr>
                <w:rFonts w:cs="Arial"/>
                <w:bCs/>
                <w:color w:val="000000"/>
              </w:rPr>
              <w:t>El contenido del proyecto regulatorio no establece disposiciones sobre las cuales se deba realizar viabilidad o disponibilidad presupuestal</w:t>
            </w:r>
            <w:r>
              <w:rPr>
                <w:rFonts w:cs="Arial"/>
                <w:bCs/>
                <w:color w:val="000000"/>
              </w:rPr>
              <w:t>.</w:t>
            </w:r>
          </w:p>
          <w:p w:rsidRPr="00F77DB8" w:rsidR="00F77DB8" w:rsidP="00F77DB8" w:rsidRDefault="00F77DB8" w14:paraId="139BA6FB" w14:textId="033D75D2">
            <w:pPr>
              <w:rPr>
                <w:sz w:val="22"/>
                <w:szCs w:val="22"/>
                <w:lang w:eastAsia="es-CO"/>
              </w:rPr>
            </w:pPr>
          </w:p>
        </w:tc>
      </w:tr>
      <w:tr w:rsidRPr="009F7CED" w:rsidR="00DF60FD" w:rsidTr="620B8672" w14:paraId="3380BF08" w14:textId="77777777">
        <w:trPr>
          <w:trHeight w:val="1295"/>
        </w:trPr>
        <w:tc>
          <w:tcPr>
            <w:tcW w:w="10774" w:type="dxa"/>
            <w:gridSpan w:val="3"/>
            <w:tcBorders>
              <w:top w:val="single" w:color="auto" w:sz="4" w:space="0"/>
              <w:bottom w:val="single" w:color="auto" w:sz="4" w:space="0"/>
            </w:tcBorders>
            <w:shd w:val="clear" w:color="auto" w:fill="FFFFFF" w:themeFill="background1"/>
            <w:vAlign w:val="center"/>
          </w:tcPr>
          <w:p w:rsidR="004D2DD4" w:rsidP="004D2DD4" w:rsidRDefault="004D2DD4" w14:paraId="115F9336" w14:textId="77777777">
            <w:pPr>
              <w:ind w:left="720" w:right="142"/>
              <w:jc w:val="both"/>
              <w:rPr>
                <w:rFonts w:cs="Arial"/>
                <w:b/>
                <w:color w:val="000000"/>
                <w:sz w:val="22"/>
                <w:szCs w:val="22"/>
              </w:rPr>
            </w:pPr>
          </w:p>
          <w:p w:rsidRPr="009F7CED" w:rsidR="00DF60FD" w:rsidP="002E23D8" w:rsidRDefault="00DF60FD" w14:paraId="1D5B47B5" w14:textId="747D98E6">
            <w:pPr>
              <w:numPr>
                <w:ilvl w:val="0"/>
                <w:numId w:val="45"/>
              </w:numPr>
              <w:ind w:right="142"/>
              <w:jc w:val="both"/>
              <w:rPr>
                <w:rFonts w:cs="Arial"/>
                <w:b/>
                <w:color w:val="000000"/>
                <w:sz w:val="22"/>
                <w:szCs w:val="22"/>
              </w:rPr>
            </w:pPr>
            <w:r w:rsidRPr="009F7CED">
              <w:rPr>
                <w:rFonts w:cs="Arial"/>
                <w:b/>
                <w:color w:val="000000"/>
                <w:sz w:val="22"/>
                <w:szCs w:val="22"/>
              </w:rPr>
              <w:t xml:space="preserve"> IMPACTO MEDIOAMBIENTAL O SOBRE EL PATRIMONIO CULTURAL DE LA NACIÓN </w:t>
            </w:r>
            <w:r w:rsidRPr="00D05B67" w:rsidR="00D05B67">
              <w:rPr>
                <w:rFonts w:cs="Arial"/>
                <w:color w:val="000000"/>
                <w:sz w:val="22"/>
                <w:szCs w:val="22"/>
              </w:rPr>
              <w:t>(Si se requiere)</w:t>
            </w:r>
          </w:p>
          <w:p w:rsidRPr="002E23D8" w:rsidR="00D05B67" w:rsidP="00696582" w:rsidRDefault="00D05B67" w14:paraId="51DAA5B9" w14:textId="520F8894">
            <w:pPr>
              <w:ind w:left="778"/>
              <w:jc w:val="both"/>
              <w:rPr>
                <w:rFonts w:cs="Arial"/>
                <w:i/>
                <w:color w:val="808080"/>
                <w:sz w:val="18"/>
                <w:szCs w:val="22"/>
              </w:rPr>
            </w:pPr>
          </w:p>
          <w:p w:rsidRPr="002E23D8" w:rsidR="002E23D8" w:rsidP="00696582" w:rsidRDefault="002E23D8" w14:paraId="22AC2B87" w14:textId="73AA0B48">
            <w:pPr>
              <w:ind w:left="778"/>
              <w:jc w:val="both"/>
              <w:rPr>
                <w:rFonts w:cs="Arial"/>
                <w:b/>
                <w:color w:val="000000"/>
              </w:rPr>
            </w:pPr>
            <w:r w:rsidRPr="002E23D8">
              <w:rPr>
                <w:rFonts w:cs="Arial"/>
                <w:color w:val="000000"/>
              </w:rPr>
              <w:t xml:space="preserve">El </w:t>
            </w:r>
            <w:r w:rsidRPr="002E23D8">
              <w:rPr>
                <w:rFonts w:cs="Arial"/>
                <w:bCs/>
                <w:color w:val="000000"/>
              </w:rPr>
              <w:t>proyecto regulatorio</w:t>
            </w:r>
            <w:r w:rsidRPr="002E23D8">
              <w:rPr>
                <w:rFonts w:cs="Arial"/>
                <w:color w:val="000000"/>
              </w:rPr>
              <w:t xml:space="preserve"> no genera impacto medioambiental o sobre el patrimonio cultural de la Nación</w:t>
            </w:r>
            <w:r>
              <w:rPr>
                <w:rFonts w:cs="Arial"/>
                <w:color w:val="000000"/>
              </w:rPr>
              <w:t>.</w:t>
            </w:r>
          </w:p>
          <w:p w:rsidRPr="009F7CED" w:rsidR="00696582" w:rsidP="00FA4A9E" w:rsidRDefault="00696582" w14:paraId="49D2B544" w14:textId="77777777">
            <w:pPr>
              <w:jc w:val="both"/>
              <w:rPr>
                <w:rFonts w:cs="Arial"/>
                <w:b/>
                <w:color w:val="000000"/>
                <w:sz w:val="22"/>
                <w:szCs w:val="22"/>
              </w:rPr>
            </w:pPr>
          </w:p>
        </w:tc>
      </w:tr>
      <w:tr w:rsidRPr="009F7CED" w:rsidR="00DF60FD" w:rsidTr="620B8672" w14:paraId="7FFFE844" w14:textId="77777777">
        <w:trPr>
          <w:trHeight w:val="317"/>
        </w:trPr>
        <w:tc>
          <w:tcPr>
            <w:tcW w:w="10774" w:type="dxa"/>
            <w:gridSpan w:val="3"/>
            <w:tcBorders>
              <w:top w:val="single" w:color="auto" w:sz="4" w:space="0"/>
              <w:left w:val="single" w:color="auto" w:sz="4" w:space="0"/>
              <w:bottom w:val="nil"/>
              <w:right w:val="single" w:color="auto" w:sz="4" w:space="0"/>
            </w:tcBorders>
            <w:shd w:val="clear" w:color="auto" w:fill="FFFFFF" w:themeFill="background1"/>
            <w:vAlign w:val="center"/>
          </w:tcPr>
          <w:p w:rsidRPr="004D2DD4" w:rsidR="004D2DD4" w:rsidP="004D2DD4" w:rsidRDefault="004D2DD4" w14:paraId="2B0C5747" w14:textId="77777777">
            <w:pPr>
              <w:ind w:left="720"/>
              <w:jc w:val="both"/>
              <w:rPr>
                <w:rFonts w:cs="Arial"/>
                <w:sz w:val="22"/>
                <w:szCs w:val="22"/>
              </w:rPr>
            </w:pPr>
          </w:p>
          <w:p w:rsidRPr="009F7CED" w:rsidR="00D05B67" w:rsidP="00696582" w:rsidRDefault="00D05B67" w14:paraId="6D2D5AC3" w14:textId="4E0EDBA0">
            <w:pPr>
              <w:numPr>
                <w:ilvl w:val="0"/>
                <w:numId w:val="45"/>
              </w:numPr>
              <w:jc w:val="both"/>
              <w:rPr>
                <w:rFonts w:cs="Arial"/>
                <w:sz w:val="22"/>
                <w:szCs w:val="22"/>
              </w:rPr>
            </w:pPr>
            <w:r w:rsidRPr="00D05B67">
              <w:rPr>
                <w:rFonts w:cs="Arial"/>
                <w:b/>
                <w:sz w:val="22"/>
                <w:szCs w:val="22"/>
              </w:rPr>
              <w:t>ESTUDIOS TÉCNICOS QUE SUSTENTEN EL PROYECTO NORMATIVO</w:t>
            </w:r>
            <w:r>
              <w:rPr>
                <w:rFonts w:cs="Arial"/>
                <w:sz w:val="22"/>
                <w:szCs w:val="22"/>
              </w:rPr>
              <w:t xml:space="preserve"> (Si cuenta con ellos)</w:t>
            </w:r>
            <w:r w:rsidRPr="009F7CED" w:rsidR="00696582">
              <w:rPr>
                <w:rFonts w:cs="Arial"/>
                <w:sz w:val="22"/>
                <w:szCs w:val="22"/>
              </w:rPr>
              <w:t xml:space="preserve"> </w:t>
            </w:r>
          </w:p>
        </w:tc>
      </w:tr>
      <w:tr w:rsidRPr="009F7CED" w:rsidR="00DF60FD" w:rsidTr="620B8672" w14:paraId="6A58A95F" w14:textId="77777777">
        <w:trPr>
          <w:trHeight w:val="66"/>
        </w:trPr>
        <w:tc>
          <w:tcPr>
            <w:tcW w:w="10774" w:type="dxa"/>
            <w:gridSpan w:val="3"/>
            <w:tcBorders>
              <w:top w:val="nil"/>
              <w:bottom w:val="single" w:color="auto" w:sz="4" w:space="0"/>
            </w:tcBorders>
            <w:shd w:val="clear" w:color="auto" w:fill="FFFFFF" w:themeFill="background1"/>
            <w:vAlign w:val="center"/>
          </w:tcPr>
          <w:p w:rsidRPr="002E23D8" w:rsidR="002E23D8" w:rsidP="002E23D8" w:rsidRDefault="002E23D8" w14:paraId="5D32DA6E" w14:textId="77777777">
            <w:pPr>
              <w:ind w:left="698" w:right="142" w:hanging="698"/>
              <w:jc w:val="both"/>
              <w:rPr>
                <w:rFonts w:cs="Arial"/>
                <w:b/>
                <w:color w:val="000000"/>
              </w:rPr>
            </w:pPr>
            <w:r w:rsidRPr="002E23D8">
              <w:rPr>
                <w:rFonts w:cs="Arial"/>
                <w:b/>
                <w:color w:val="000000"/>
              </w:rPr>
              <w:t xml:space="preserve">            </w:t>
            </w:r>
          </w:p>
          <w:p w:rsidRPr="002E23D8" w:rsidR="00843EFF" w:rsidP="002E23D8" w:rsidRDefault="002E23D8" w14:paraId="25C3F8D0" w14:textId="5687BC37">
            <w:pPr>
              <w:ind w:left="698" w:right="142"/>
              <w:jc w:val="both"/>
              <w:rPr>
                <w:rFonts w:cs="Arial"/>
                <w:bCs/>
              </w:rPr>
            </w:pPr>
            <w:r w:rsidRPr="002E23D8">
              <w:rPr>
                <w:rFonts w:cs="Arial"/>
                <w:bCs/>
              </w:rPr>
              <w:t>La metodología empleada para actualizar las tarifas por asignación y uso de las frecuencias es una formula simple de indexación y no se requiere estudio técnico para su estimación.</w:t>
            </w:r>
          </w:p>
          <w:p w:rsidRPr="009F7CED" w:rsidR="002E23D8" w:rsidP="002E23D8" w:rsidRDefault="002E23D8" w14:paraId="177E7B9B" w14:textId="58EE209C">
            <w:pPr>
              <w:ind w:left="698" w:right="142" w:hanging="698"/>
              <w:jc w:val="both"/>
              <w:rPr>
                <w:rFonts w:cs="Arial"/>
                <w:b/>
                <w:color w:val="000000"/>
                <w:sz w:val="22"/>
                <w:szCs w:val="22"/>
              </w:rPr>
            </w:pPr>
          </w:p>
        </w:tc>
      </w:tr>
      <w:tr w:rsidRPr="00D965B1" w:rsidR="00DF60FD" w:rsidTr="620B8672" w14:paraId="05769870" w14:textId="77777777">
        <w:trPr>
          <w:trHeight w:val="416"/>
        </w:trPr>
        <w:tc>
          <w:tcPr>
            <w:tcW w:w="10774" w:type="dxa"/>
            <w:gridSpan w:val="3"/>
            <w:tcBorders>
              <w:top w:val="single" w:color="auto" w:sz="4" w:space="0"/>
              <w:bottom w:val="single" w:color="auto" w:sz="4" w:space="0"/>
            </w:tcBorders>
            <w:shd w:val="clear" w:color="auto" w:fill="D9D9D9" w:themeFill="background1" w:themeFillShade="D9"/>
            <w:vAlign w:val="center"/>
          </w:tcPr>
          <w:p w:rsidRPr="00AF569A" w:rsidR="00F55DC4" w:rsidP="00696582" w:rsidRDefault="00DF60FD" w14:paraId="6D984406" w14:textId="77777777">
            <w:pPr>
              <w:jc w:val="center"/>
              <w:rPr>
                <w:rFonts w:cs="Arial"/>
                <w:sz w:val="22"/>
                <w:szCs w:val="22"/>
              </w:rPr>
            </w:pPr>
            <w:r w:rsidRPr="00AF569A">
              <w:rPr>
                <w:rFonts w:cs="Arial"/>
                <w:b/>
                <w:sz w:val="22"/>
                <w:szCs w:val="22"/>
              </w:rPr>
              <w:t>ANEXOS</w:t>
            </w:r>
            <w:r w:rsidRPr="00AF569A" w:rsidR="00D05B67">
              <w:rPr>
                <w:rFonts w:cs="Arial"/>
                <w:b/>
                <w:sz w:val="22"/>
                <w:szCs w:val="22"/>
              </w:rPr>
              <w:t>:</w:t>
            </w:r>
            <w:r w:rsidRPr="00AF569A" w:rsidR="00696582">
              <w:rPr>
                <w:rFonts w:cs="Arial"/>
                <w:sz w:val="22"/>
                <w:szCs w:val="22"/>
              </w:rPr>
              <w:t xml:space="preserve"> </w:t>
            </w:r>
          </w:p>
        </w:tc>
      </w:tr>
      <w:tr w:rsidRPr="009F7CED" w:rsidR="00D05B67" w:rsidTr="620B8672" w14:paraId="527C3750"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2E23D8" w:rsidP="00D05B67" w:rsidRDefault="00D05B67" w14:paraId="596A923B" w14:textId="77777777">
            <w:pPr>
              <w:jc w:val="both"/>
              <w:rPr>
                <w:rFonts w:cs="Arial"/>
                <w:sz w:val="22"/>
                <w:szCs w:val="22"/>
              </w:rPr>
            </w:pPr>
            <w:r>
              <w:rPr>
                <w:rFonts w:cs="Arial"/>
                <w:sz w:val="22"/>
                <w:szCs w:val="22"/>
              </w:rPr>
              <w:t>Certificación de cumplimiento de requisitos de consulta, publicidad y de incorporación en la agenda regulatoria</w:t>
            </w:r>
            <w:r w:rsidR="002E23D8">
              <w:rPr>
                <w:rFonts w:cs="Arial"/>
                <w:sz w:val="22"/>
                <w:szCs w:val="22"/>
              </w:rPr>
              <w:t>.</w:t>
            </w:r>
          </w:p>
          <w:p w:rsidRPr="002E23D8" w:rsidR="00D05B67" w:rsidP="00D05B67" w:rsidRDefault="00D05B67" w14:paraId="15E83C89" w14:textId="260643FA">
            <w:pPr>
              <w:jc w:val="both"/>
              <w:rPr>
                <w:rFonts w:cs="Arial"/>
                <w:sz w:val="22"/>
                <w:szCs w:val="22"/>
              </w:rPr>
            </w:pPr>
            <w:r>
              <w:rPr>
                <w:rFonts w:cs="Arial"/>
                <w:sz w:val="22"/>
                <w:szCs w:val="22"/>
              </w:rPr>
              <w:t xml:space="preserve"> </w:t>
            </w: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Pr="00084B49" w:rsidR="00D05B67" w:rsidP="00D05B67" w:rsidRDefault="002E23D8" w14:paraId="09671423" w14:textId="24612E55">
            <w:pPr>
              <w:jc w:val="both"/>
              <w:rPr>
                <w:rFonts w:cs="Arial"/>
                <w:i/>
                <w:color w:val="808080"/>
                <w:sz w:val="22"/>
                <w:szCs w:val="22"/>
              </w:rPr>
            </w:pPr>
            <w:r>
              <w:rPr>
                <w:rFonts w:cs="Arial"/>
                <w:i/>
                <w:color w:val="808080"/>
                <w:sz w:val="22"/>
                <w:szCs w:val="22"/>
              </w:rPr>
              <w:t>N/A</w:t>
            </w:r>
          </w:p>
        </w:tc>
      </w:tr>
      <w:tr w:rsidRPr="009F7CED" w:rsidR="00D05B67" w:rsidTr="620B8672" w14:paraId="4B96F93D"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D05B67" w:rsidP="00D05B67" w:rsidRDefault="00D05B67" w14:paraId="5547EFE9" w14:textId="77777777">
            <w:pPr>
              <w:jc w:val="both"/>
              <w:rPr>
                <w:rFonts w:cs="Arial"/>
                <w:sz w:val="22"/>
                <w:szCs w:val="22"/>
              </w:rPr>
            </w:pPr>
            <w:r>
              <w:rPr>
                <w:rFonts w:cs="Arial"/>
                <w:sz w:val="22"/>
                <w:szCs w:val="22"/>
              </w:rPr>
              <w:t>Concepto</w:t>
            </w:r>
            <w:r w:rsidR="005F30C3">
              <w:rPr>
                <w:rFonts w:cs="Arial"/>
                <w:sz w:val="22"/>
                <w:szCs w:val="22"/>
              </w:rPr>
              <w:t>(s)</w:t>
            </w:r>
            <w:r>
              <w:rPr>
                <w:rFonts w:cs="Arial"/>
                <w:sz w:val="22"/>
                <w:szCs w:val="22"/>
              </w:rPr>
              <w:t xml:space="preserve"> de Min</w:t>
            </w:r>
            <w:r w:rsidR="005F30C3">
              <w:rPr>
                <w:rFonts w:cs="Arial"/>
                <w:sz w:val="22"/>
                <w:szCs w:val="22"/>
              </w:rPr>
              <w:t>isterio de</w:t>
            </w:r>
            <w:r>
              <w:rPr>
                <w:rFonts w:cs="Arial"/>
                <w:sz w:val="22"/>
                <w:szCs w:val="22"/>
              </w:rPr>
              <w:t xml:space="preserve"> Comercio</w:t>
            </w:r>
            <w:r w:rsidR="005F30C3">
              <w:rPr>
                <w:rFonts w:cs="Arial"/>
                <w:sz w:val="22"/>
                <w:szCs w:val="22"/>
              </w:rPr>
              <w:t>, Industria y Turismo</w:t>
            </w:r>
            <w:r w:rsidR="002E23D8">
              <w:rPr>
                <w:rFonts w:cs="Arial"/>
                <w:sz w:val="22"/>
                <w:szCs w:val="22"/>
              </w:rPr>
              <w:t>.</w:t>
            </w:r>
          </w:p>
          <w:p w:rsidRPr="002E23D8" w:rsidR="002E23D8" w:rsidP="00D05B67" w:rsidRDefault="002E23D8" w14:paraId="270C7AB5" w14:textId="6878B50D">
            <w:pPr>
              <w:jc w:val="both"/>
              <w:rPr>
                <w:rFonts w:cs="Arial"/>
                <w:sz w:val="22"/>
                <w:szCs w:val="22"/>
              </w:rPr>
            </w:pP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00D05B67" w:rsidP="00D05B67" w:rsidRDefault="002E23D8" w14:paraId="24CC459A" w14:textId="0FFE1FCA">
            <w:pPr>
              <w:jc w:val="both"/>
              <w:rPr>
                <w:rFonts w:cs="Arial"/>
                <w:sz w:val="22"/>
                <w:szCs w:val="22"/>
              </w:rPr>
            </w:pPr>
            <w:r>
              <w:rPr>
                <w:rFonts w:cs="Arial"/>
                <w:i/>
                <w:color w:val="808080"/>
                <w:sz w:val="22"/>
                <w:szCs w:val="22"/>
              </w:rPr>
              <w:t>N/A</w:t>
            </w:r>
          </w:p>
        </w:tc>
      </w:tr>
      <w:tr w:rsidRPr="009F7CED" w:rsidR="005F30C3" w:rsidTr="620B8672" w14:paraId="4241CE5C"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5F30C3" w:rsidP="00D05B67" w:rsidRDefault="005F30C3" w14:paraId="79E48042" w14:textId="7D6B0F7B">
            <w:pPr>
              <w:jc w:val="both"/>
              <w:rPr>
                <w:rFonts w:cs="Arial"/>
                <w:sz w:val="22"/>
                <w:szCs w:val="22"/>
              </w:rPr>
            </w:pPr>
            <w:r>
              <w:rPr>
                <w:rFonts w:cs="Arial"/>
                <w:sz w:val="22"/>
                <w:szCs w:val="22"/>
              </w:rPr>
              <w:t>Informe de observaciones y respuestas</w:t>
            </w:r>
            <w:r w:rsidR="002E23D8">
              <w:rPr>
                <w:rFonts w:cs="Arial"/>
                <w:sz w:val="22"/>
                <w:szCs w:val="22"/>
              </w:rPr>
              <w:t>.</w:t>
            </w:r>
            <w:r>
              <w:rPr>
                <w:rFonts w:cs="Arial"/>
                <w:sz w:val="22"/>
                <w:szCs w:val="22"/>
              </w:rPr>
              <w:t xml:space="preserve"> </w:t>
            </w:r>
          </w:p>
          <w:p w:rsidRPr="00084B49" w:rsidR="005F30C3" w:rsidP="00D05B67" w:rsidRDefault="005F30C3" w14:paraId="4E1961C8" w14:textId="4FEE20BF">
            <w:pPr>
              <w:jc w:val="both"/>
              <w:rPr>
                <w:rFonts w:cs="Arial"/>
                <w:i/>
                <w:color w:val="808080"/>
                <w:sz w:val="22"/>
                <w:szCs w:val="22"/>
              </w:rPr>
            </w:pP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Pr="002E23D8" w:rsidR="005F30C3" w:rsidP="002E23D8" w:rsidRDefault="002E23D8" w14:paraId="3EC90E99" w14:textId="727CDF14">
            <w:pPr>
              <w:ind w:right="142"/>
              <w:jc w:val="both"/>
              <w:rPr>
                <w:rFonts w:cs="Arial"/>
                <w:sz w:val="22"/>
                <w:szCs w:val="22"/>
              </w:rPr>
            </w:pPr>
            <w:r w:rsidRPr="002E23D8">
              <w:rPr>
                <w:rFonts w:cs="Arial"/>
                <w:iCs/>
                <w:sz w:val="22"/>
                <w:szCs w:val="22"/>
              </w:rPr>
              <w:t>En caso de presentarse observaciones se incluirá la respectiva matriz de respuesta</w:t>
            </w:r>
          </w:p>
        </w:tc>
      </w:tr>
      <w:tr w:rsidRPr="009F7CED" w:rsidR="005F30C3" w:rsidTr="620B8672" w14:paraId="07676EB5"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5F30C3" w:rsidP="00D05B67" w:rsidRDefault="005F30C3" w14:paraId="719683E6" w14:textId="510CEFCD">
            <w:pPr>
              <w:jc w:val="both"/>
              <w:rPr>
                <w:rFonts w:cs="Arial"/>
                <w:sz w:val="22"/>
                <w:szCs w:val="22"/>
              </w:rPr>
            </w:pPr>
            <w:r>
              <w:rPr>
                <w:rFonts w:cs="Arial"/>
                <w:sz w:val="22"/>
                <w:szCs w:val="22"/>
              </w:rPr>
              <w:t>Concepto de Abogacía de la Competencia de la Superintendencia de Industria y Comercio</w:t>
            </w:r>
            <w:r w:rsidR="002E23D8">
              <w:rPr>
                <w:rFonts w:cs="Arial"/>
                <w:sz w:val="22"/>
                <w:szCs w:val="22"/>
              </w:rPr>
              <w:t>.</w:t>
            </w:r>
          </w:p>
          <w:p w:rsidRPr="00084B49" w:rsidR="005F30C3" w:rsidP="00D05B67" w:rsidRDefault="005F30C3" w14:paraId="364EFEA6" w14:textId="7251D9CE">
            <w:pPr>
              <w:jc w:val="both"/>
              <w:rPr>
                <w:rFonts w:cs="Arial"/>
                <w:i/>
                <w:color w:val="808080"/>
                <w:sz w:val="22"/>
                <w:szCs w:val="22"/>
              </w:rPr>
            </w:pP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005F30C3" w:rsidP="00D05B67" w:rsidRDefault="002E23D8" w14:paraId="0F8BF5F5" w14:textId="260F0328">
            <w:pPr>
              <w:jc w:val="both"/>
              <w:rPr>
                <w:rFonts w:cs="Arial"/>
                <w:sz w:val="22"/>
                <w:szCs w:val="22"/>
              </w:rPr>
            </w:pPr>
            <w:r>
              <w:rPr>
                <w:rFonts w:cs="Arial"/>
                <w:i/>
                <w:color w:val="808080"/>
                <w:sz w:val="22"/>
                <w:szCs w:val="22"/>
              </w:rPr>
              <w:t>N/A</w:t>
            </w:r>
          </w:p>
        </w:tc>
      </w:tr>
      <w:tr w:rsidRPr="009F7CED" w:rsidR="005F30C3" w:rsidTr="620B8672" w14:paraId="19E5B7FC"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5F30C3" w:rsidP="00D05B67" w:rsidRDefault="005F30C3" w14:paraId="1DFA88C0" w14:textId="132CB65C">
            <w:pPr>
              <w:jc w:val="both"/>
              <w:rPr>
                <w:rFonts w:cs="Arial"/>
                <w:sz w:val="22"/>
                <w:szCs w:val="22"/>
              </w:rPr>
            </w:pPr>
            <w:r>
              <w:rPr>
                <w:rFonts w:cs="Arial"/>
                <w:sz w:val="22"/>
                <w:szCs w:val="22"/>
              </w:rPr>
              <w:t>Concepto de aprobación nuevos trámites del Departamento Administrativo de la Función Pública</w:t>
            </w:r>
            <w:r w:rsidR="002E23D8">
              <w:rPr>
                <w:rFonts w:cs="Arial"/>
                <w:sz w:val="22"/>
                <w:szCs w:val="22"/>
              </w:rPr>
              <w:t>.</w:t>
            </w: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005F30C3" w:rsidP="00D05B67" w:rsidRDefault="002E23D8" w14:paraId="2F5CE5B9" w14:textId="0F4123F4">
            <w:pPr>
              <w:jc w:val="both"/>
              <w:rPr>
                <w:rFonts w:cs="Arial"/>
                <w:sz w:val="22"/>
                <w:szCs w:val="22"/>
              </w:rPr>
            </w:pPr>
            <w:r>
              <w:rPr>
                <w:rFonts w:cs="Arial"/>
                <w:i/>
                <w:color w:val="808080"/>
                <w:sz w:val="22"/>
                <w:szCs w:val="22"/>
              </w:rPr>
              <w:t>N/A</w:t>
            </w:r>
          </w:p>
        </w:tc>
      </w:tr>
      <w:tr w:rsidRPr="009F7CED" w:rsidR="005F30C3" w:rsidTr="620B8672" w14:paraId="3322BE2A" w14:textId="77777777">
        <w:trPr>
          <w:trHeight w:val="66"/>
        </w:trPr>
        <w:tc>
          <w:tcPr>
            <w:tcW w:w="7655" w:type="dxa"/>
            <w:gridSpan w:val="2"/>
            <w:tcBorders>
              <w:top w:val="single" w:color="auto" w:sz="4" w:space="0"/>
              <w:bottom w:val="single" w:color="auto" w:sz="4" w:space="0"/>
              <w:right w:val="single" w:color="auto" w:sz="4" w:space="0"/>
            </w:tcBorders>
            <w:shd w:val="clear" w:color="auto" w:fill="FFFFFF" w:themeFill="background1"/>
            <w:vAlign w:val="center"/>
          </w:tcPr>
          <w:p w:rsidR="005F30C3" w:rsidP="00084B49" w:rsidRDefault="005F30C3" w14:paraId="1CD006DB" w14:textId="744467EF">
            <w:pPr>
              <w:jc w:val="both"/>
              <w:rPr>
                <w:rFonts w:cs="Arial"/>
                <w:sz w:val="22"/>
                <w:szCs w:val="22"/>
              </w:rPr>
            </w:pPr>
            <w:r>
              <w:rPr>
                <w:rFonts w:cs="Arial"/>
                <w:sz w:val="22"/>
                <w:szCs w:val="22"/>
              </w:rPr>
              <w:t>Otro</w:t>
            </w:r>
            <w:r w:rsidR="002E23D8">
              <w:rPr>
                <w:rFonts w:cs="Arial"/>
                <w:sz w:val="22"/>
                <w:szCs w:val="22"/>
              </w:rPr>
              <w:t>.</w:t>
            </w:r>
            <w:r>
              <w:rPr>
                <w:rFonts w:cs="Arial"/>
                <w:sz w:val="22"/>
                <w:szCs w:val="22"/>
              </w:rPr>
              <w:t xml:space="preserve"> </w:t>
            </w:r>
          </w:p>
          <w:p w:rsidR="005F30C3" w:rsidP="00084B49" w:rsidRDefault="005F30C3" w14:paraId="73A3BDE5" w14:textId="7971054D">
            <w:pPr>
              <w:jc w:val="both"/>
              <w:rPr>
                <w:rFonts w:cs="Arial"/>
                <w:sz w:val="22"/>
                <w:szCs w:val="22"/>
              </w:rPr>
            </w:pPr>
          </w:p>
        </w:tc>
        <w:tc>
          <w:tcPr>
            <w:tcW w:w="3119" w:type="dxa"/>
            <w:tcBorders>
              <w:top w:val="single" w:color="auto" w:sz="4" w:space="0"/>
              <w:left w:val="single" w:color="auto" w:sz="4" w:space="0"/>
              <w:bottom w:val="single" w:color="auto" w:sz="4" w:space="0"/>
            </w:tcBorders>
            <w:shd w:val="clear" w:color="auto" w:fill="FFFFFF" w:themeFill="background1"/>
            <w:vAlign w:val="center"/>
          </w:tcPr>
          <w:p w:rsidR="005F30C3" w:rsidP="00D05B67" w:rsidRDefault="002E23D8" w14:paraId="6BB8FF30" w14:textId="33A195C8">
            <w:pPr>
              <w:jc w:val="both"/>
              <w:rPr>
                <w:rFonts w:cs="Arial"/>
                <w:sz w:val="22"/>
                <w:szCs w:val="22"/>
              </w:rPr>
            </w:pPr>
            <w:r>
              <w:rPr>
                <w:rFonts w:cs="Arial"/>
                <w:i/>
                <w:color w:val="808080"/>
                <w:sz w:val="22"/>
                <w:szCs w:val="22"/>
              </w:rPr>
              <w:t>N/A</w:t>
            </w:r>
          </w:p>
        </w:tc>
      </w:tr>
    </w:tbl>
    <w:p w:rsidR="00301DC2" w:rsidP="00587695" w:rsidRDefault="00301DC2" w14:paraId="56E6101F" w14:textId="77777777">
      <w:pPr>
        <w:ind w:right="-377"/>
        <w:jc w:val="both"/>
        <w:rPr>
          <w:rFonts w:cs="Arial"/>
          <w:sz w:val="22"/>
          <w:szCs w:val="22"/>
        </w:rPr>
      </w:pPr>
    </w:p>
    <w:p w:rsidRPr="009F7CED" w:rsidR="002E23D8" w:rsidP="00587695" w:rsidRDefault="002E23D8" w14:paraId="3CA2FC9E" w14:textId="77777777">
      <w:pPr>
        <w:ind w:right="-377"/>
        <w:jc w:val="both"/>
        <w:rPr>
          <w:rFonts w:cs="Arial"/>
          <w:sz w:val="22"/>
          <w:szCs w:val="22"/>
        </w:rPr>
      </w:pPr>
    </w:p>
    <w:p w:rsidRPr="00D05B67" w:rsidR="00B66D03" w:rsidP="00696582" w:rsidRDefault="000B30A6" w14:paraId="53055E4F" w14:textId="77777777">
      <w:pPr>
        <w:ind w:left="-1276" w:right="-377" w:firstLine="283"/>
        <w:jc w:val="both"/>
        <w:rPr>
          <w:rFonts w:cs="Arial"/>
          <w:b/>
          <w:sz w:val="22"/>
          <w:szCs w:val="22"/>
        </w:rPr>
      </w:pPr>
      <w:r w:rsidRPr="00D05B67">
        <w:rPr>
          <w:rFonts w:cs="Arial"/>
          <w:b/>
          <w:sz w:val="22"/>
          <w:szCs w:val="22"/>
        </w:rPr>
        <w:t>Aprobó</w:t>
      </w:r>
      <w:r w:rsidRPr="00D05B67" w:rsidR="00CB4D37">
        <w:rPr>
          <w:rFonts w:cs="Arial"/>
          <w:b/>
          <w:sz w:val="22"/>
          <w:szCs w:val="22"/>
        </w:rPr>
        <w:t>:</w:t>
      </w:r>
    </w:p>
    <w:p w:rsidR="00D05B67" w:rsidP="00D05B67" w:rsidRDefault="002E23D8" w14:paraId="0FFFEFDE" w14:textId="2D3AF5D7">
      <w:pPr>
        <w:pStyle w:val="Listavistosa-nfasis11"/>
        <w:jc w:val="both"/>
        <w:rPr>
          <w:rFonts w:ascii="Arial" w:hAnsi="Arial" w:cs="Arial"/>
          <w:b/>
        </w:rPr>
      </w:pPr>
      <w:r>
        <w:rPr>
          <w:rFonts w:ascii="Arial" w:hAnsi="Arial" w:cs="Arial"/>
          <w:b/>
        </w:rPr>
        <w:t>___________________</w:t>
      </w:r>
      <w:r w:rsidR="00D05B67">
        <w:rPr>
          <w:rFonts w:ascii="Arial" w:hAnsi="Arial" w:cs="Arial"/>
          <w:b/>
        </w:rPr>
        <w:t>_________________</w:t>
      </w:r>
    </w:p>
    <w:p w:rsidR="00D05B67" w:rsidP="00696582" w:rsidRDefault="008448CA" w14:paraId="68A1D217" w14:textId="5B26EF84">
      <w:pPr>
        <w:pStyle w:val="Listavistosa-nfasis11"/>
        <w:rPr>
          <w:rFonts w:ascii="Arial" w:hAnsi="Arial" w:cs="Arial"/>
          <w:b/>
        </w:rPr>
      </w:pPr>
      <w:r w:rsidRPr="008448CA">
        <w:rPr>
          <w:rFonts w:ascii="Arial" w:hAnsi="Arial" w:cs="Arial"/>
          <w:b/>
        </w:rPr>
        <w:t>PAOLA ELVIRA THIRIAT TOVAR</w:t>
      </w:r>
    </w:p>
    <w:p w:rsidRPr="00E0174F" w:rsidR="002E23D8" w:rsidP="00696582" w:rsidRDefault="002E23D8" w14:paraId="31E11A93" w14:textId="2132C057">
      <w:pPr>
        <w:pStyle w:val="Listavistosa-nfasis11"/>
        <w:rPr>
          <w:rFonts w:ascii="Arial" w:hAnsi="Arial" w:cs="Arial"/>
          <w:b/>
        </w:rPr>
      </w:pPr>
      <w:r>
        <w:rPr>
          <w:rFonts w:ascii="Arial" w:hAnsi="Arial" w:cs="Arial"/>
          <w:b/>
        </w:rPr>
        <w:t>Director</w:t>
      </w:r>
      <w:r w:rsidR="008448CA">
        <w:rPr>
          <w:rFonts w:ascii="Arial" w:hAnsi="Arial" w:cs="Arial"/>
          <w:b/>
        </w:rPr>
        <w:t>a</w:t>
      </w:r>
      <w:r>
        <w:rPr>
          <w:rFonts w:ascii="Arial" w:hAnsi="Arial" w:cs="Arial"/>
          <w:b/>
        </w:rPr>
        <w:t xml:space="preserve"> de Industria de Comunicaciones</w:t>
      </w:r>
      <w:r w:rsidR="008448CA">
        <w:rPr>
          <w:rFonts w:ascii="Arial" w:hAnsi="Arial" w:cs="Arial"/>
          <w:b/>
        </w:rPr>
        <w:t xml:space="preserve"> (E)</w:t>
      </w:r>
    </w:p>
    <w:p w:rsidRPr="00E0174F" w:rsidR="00D05B67" w:rsidP="00696582" w:rsidRDefault="00D05B67" w14:paraId="2305B046" w14:textId="77777777">
      <w:pPr>
        <w:pStyle w:val="Listavistosa-nfasis11"/>
        <w:rPr>
          <w:rFonts w:ascii="Arial" w:hAnsi="Arial" w:cs="Arial"/>
          <w:b/>
        </w:rPr>
      </w:pPr>
    </w:p>
    <w:p w:rsidRPr="00E0174F" w:rsidR="00366F75" w:rsidP="00366F75" w:rsidRDefault="00366F75" w14:paraId="2C4820D5" w14:textId="4280242A">
      <w:pPr>
        <w:pStyle w:val="Listavistosa-nfasis11"/>
        <w:jc w:val="both"/>
        <w:rPr>
          <w:rFonts w:ascii="Arial" w:hAnsi="Arial" w:cs="Arial"/>
          <w:b/>
        </w:rPr>
      </w:pPr>
      <w:r w:rsidRPr="00E0174F">
        <w:rPr>
          <w:rFonts w:ascii="Arial" w:hAnsi="Arial" w:cs="Arial"/>
          <w:b/>
        </w:rPr>
        <w:t>________</w:t>
      </w:r>
      <w:r w:rsidR="002E23D8">
        <w:rPr>
          <w:rFonts w:ascii="Arial" w:hAnsi="Arial" w:cs="Arial"/>
          <w:b/>
        </w:rPr>
        <w:t>_____</w:t>
      </w:r>
      <w:r w:rsidRPr="00E0174F">
        <w:rPr>
          <w:rFonts w:ascii="Arial" w:hAnsi="Arial" w:cs="Arial"/>
          <w:b/>
        </w:rPr>
        <w:t>_________</w:t>
      </w:r>
      <w:r w:rsidR="008448CA">
        <w:rPr>
          <w:rFonts w:ascii="Arial" w:hAnsi="Arial" w:cs="Arial"/>
          <w:b/>
        </w:rPr>
        <w:t>______________</w:t>
      </w:r>
    </w:p>
    <w:p w:rsidR="00366F75" w:rsidP="5C93B5ED" w:rsidRDefault="002E23D8" w14:paraId="66205615" w14:textId="6BB37DC5">
      <w:pPr>
        <w:pStyle w:val="Listavistosa-nfasis11"/>
        <w:rPr>
          <w:rFonts w:ascii="Arial" w:hAnsi="Arial" w:cs="Arial"/>
          <w:b w:val="1"/>
          <w:bCs w:val="1"/>
        </w:rPr>
      </w:pPr>
      <w:r w:rsidRPr="5C93B5ED" w:rsidR="002E23D8">
        <w:rPr>
          <w:rFonts w:ascii="Arial" w:hAnsi="Arial" w:cs="Arial"/>
          <w:b w:val="1"/>
          <w:bCs w:val="1"/>
        </w:rPr>
        <w:t>RUBY</w:t>
      </w:r>
      <w:r w:rsidRPr="5C93B5ED" w:rsidR="00F82C3E">
        <w:rPr>
          <w:rFonts w:ascii="Arial" w:hAnsi="Arial" w:cs="Arial"/>
          <w:b w:val="1"/>
          <w:bCs w:val="1"/>
        </w:rPr>
        <w:t xml:space="preserve"> </w:t>
      </w:r>
      <w:r w:rsidRPr="5C93B5ED" w:rsidR="00F82C3E">
        <w:rPr>
          <w:rFonts w:ascii="Arial" w:hAnsi="Arial" w:cs="Arial"/>
          <w:b w:val="1"/>
          <w:bCs w:val="1"/>
        </w:rPr>
        <w:t>RUTH</w:t>
      </w:r>
      <w:r w:rsidRPr="5C93B5ED" w:rsidR="002E23D8">
        <w:rPr>
          <w:rFonts w:ascii="Arial" w:hAnsi="Arial" w:cs="Arial"/>
          <w:b w:val="1"/>
          <w:bCs w:val="1"/>
        </w:rPr>
        <w:t xml:space="preserve"> RAMÍREZ MEDINA</w:t>
      </w:r>
    </w:p>
    <w:p w:rsidRPr="00E0174F" w:rsidR="00E0174F" w:rsidP="00366F75" w:rsidRDefault="002E23D8" w14:paraId="01934125" w14:textId="79BE1D0F">
      <w:pPr>
        <w:pStyle w:val="Listavistosa-nfasis11"/>
        <w:rPr>
          <w:rFonts w:ascii="Arial" w:hAnsi="Arial" w:cs="Arial"/>
          <w:b/>
        </w:rPr>
      </w:pPr>
      <w:r w:rsidRPr="00DD4C16">
        <w:rPr>
          <w:rFonts w:ascii="Arial" w:hAnsi="Arial" w:cs="Arial"/>
          <w:b/>
        </w:rPr>
        <w:t>Director</w:t>
      </w:r>
      <w:r>
        <w:rPr>
          <w:rFonts w:ascii="Arial" w:hAnsi="Arial" w:cs="Arial"/>
          <w:b/>
        </w:rPr>
        <w:t>a</w:t>
      </w:r>
      <w:r w:rsidRPr="00DD4C16">
        <w:rPr>
          <w:rFonts w:ascii="Arial" w:hAnsi="Arial" w:cs="Arial"/>
          <w:b/>
        </w:rPr>
        <w:t xml:space="preserve"> Jurídic</w:t>
      </w:r>
      <w:r>
        <w:rPr>
          <w:rFonts w:ascii="Arial" w:hAnsi="Arial" w:cs="Arial"/>
          <w:b/>
        </w:rPr>
        <w:t>a</w:t>
      </w:r>
    </w:p>
    <w:p w:rsidRPr="00366F75" w:rsidR="006779DA" w:rsidP="00696582" w:rsidRDefault="006779DA" w14:paraId="16D3ACBD" w14:textId="01C0939E">
      <w:pPr>
        <w:pStyle w:val="Listavistosa-nfasis11"/>
        <w:rPr>
          <w:rFonts w:ascii="Arial" w:hAnsi="Arial" w:cs="Arial"/>
          <w:b/>
          <w:color w:val="FF0000"/>
        </w:rPr>
      </w:pPr>
    </w:p>
    <w:sectPr w:rsidRPr="00366F75" w:rsidR="006779DA" w:rsidSect="00F77DB8">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368" w:rsidRDefault="00B17368" w14:paraId="0C3246D3" w14:textId="77777777">
      <w:r>
        <w:separator/>
      </w:r>
    </w:p>
  </w:endnote>
  <w:endnote w:type="continuationSeparator" w:id="0">
    <w:p w:rsidR="00B17368" w:rsidRDefault="00B17368" w14:paraId="7B3370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65" w:rsidRDefault="00416865" w14:paraId="2E1BD97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77DB8" w:rsidP="00F77DB8" w:rsidRDefault="00F77DB8" w14:paraId="6E67A484" w14:textId="246E14A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rsidR="00F77DB8" w:rsidP="00F77DB8" w:rsidRDefault="00F77DB8" w14:paraId="25B85007" w14:textId="6E3FE63E">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rFonts w:ascii="Calibri" w:hAnsi="Calibri" w:cs="Calibri"/>
        <w:color w:val="000000"/>
      </w:rPr>
      <w:tab/>
    </w:r>
  </w:p>
  <w:p w:rsidR="00836C6A" w:rsidP="00F77DB8" w:rsidRDefault="00F77DB8" w14:paraId="7B62638E" w14:textId="643DD8EB">
    <w:pPr>
      <w:pStyle w:val="Piedepgina"/>
      <w:jc w:val="right"/>
    </w:pPr>
    <w:r>
      <w:rPr>
        <w:rFonts w:ascii="Calibri" w:hAnsi="Calibri" w:cs="Calibri"/>
        <w:color w:val="000000"/>
      </w:rPr>
      <w:tab/>
    </w:r>
    <w:r>
      <w:rPr>
        <w:rFonts w:ascii="Calibri" w:hAnsi="Calibri" w:cs="Calibri"/>
        <w:color w:val="000000"/>
      </w:rPr>
      <w:tab/>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F569A" w:rsidR="00FE2D84" w:rsidP="00692F01" w:rsidRDefault="00692F01" w14:paraId="21CDF9FE" w14:textId="4A625D82">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537413">
            <v:shapetype id="_x0000_t202" coordsize="21600,21600" o:spt="202" path="m,l,21600r21600,l21600,xe" w14:anchorId="475BE78E">
              <v:stroke joinstyle="miter"/>
              <v:path gradientshapeok="t" o:connecttype="rect"/>
            </v:shapetype>
            <v:shape id="MSIPCM6e1c4ae9bb68bcc40527ef41"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324040364,&quot;Height&quot;:792.0,&quot;Width&quot;:612.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v:textbox inset="20pt,0,,0">
                <w:txbxContent>
                  <w:p w:rsidRPr="00AF569A" w:rsidR="00FE2D84" w:rsidP="00692F01" w:rsidRDefault="00692F01" w14:paraId="54D20C98" w14:textId="4A625D82">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rsidRPr="0084294E" w:rsidR="00F07A7D" w:rsidP="008C703D" w:rsidRDefault="00F07A7D" w14:paraId="089230A1" w14:textId="4395C5FA">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9A" w:rsidP="003650D5" w:rsidRDefault="00F77DB8" w14:paraId="2B8EE956" w14:textId="13516AA7">
    <w:pPr>
      <w:pStyle w:val="Piedepgina"/>
      <w:ind w:left="-709"/>
      <w:rPr>
        <w:rFonts w:ascii="Calibri" w:hAnsi="Calibri" w:cs="Calibri"/>
        <w:color w:val="000000"/>
      </w:rPr>
    </w:pPr>
    <w:r>
      <w:rPr>
        <w:noProof/>
      </w:rPr>
      <w:tab/>
    </w:r>
    <w:r>
      <w:rPr>
        <w:noProof/>
      </w:rPr>
      <w:tab/>
    </w:r>
  </w:p>
  <w:p w:rsidR="00F77DB8" w:rsidP="00F77DB8" w:rsidRDefault="00F77DB8" w14:paraId="7E9BB38D" w14:textId="6A6E08F1">
    <w:pPr>
      <w:pStyle w:val="Piedepgina"/>
      <w:tabs>
        <w:tab w:val="clear" w:pos="8504"/>
      </w:tabs>
      <w:ind w:left="-709"/>
      <w:rPr>
        <w:rFonts w:ascii="Calibri" w:hAnsi="Calibri" w:cs="Calibri"/>
        <w:color w:val="000000"/>
      </w:rPr>
    </w:pPr>
    <w:r>
      <w:rPr>
        <w:noProof/>
      </w:rPr>
      <w:tab/>
    </w:r>
    <w:r>
      <w:rPr>
        <w:noProof/>
      </w:rPr>
      <w:tab/>
    </w:r>
    <w:r>
      <w:rPr>
        <w:noProof/>
      </w:rPr>
      <w:tab/>
    </w:r>
    <w:r>
      <w:rPr>
        <w:noProof/>
      </w:rPr>
      <w:tab/>
    </w:r>
    <w:r>
      <w:rPr>
        <w:noProof/>
      </w:rPr>
      <w:t xml:space="preserve">    </w:t>
    </w:r>
    <w:r>
      <w:rPr>
        <w:noProof/>
      </w:rPr>
      <w:tab/>
    </w:r>
    <w:r>
      <w:rPr>
        <w:noProof/>
      </w:rPr>
      <w:t xml:space="preserve">                       </w:t>
    </w:r>
    <w:r>
      <w:rPr>
        <w:rFonts w:ascii="Calibri" w:hAnsi="Calibri" w:cs="Calibri"/>
        <w:color w:val="000000"/>
      </w:rPr>
      <w:t>GJU-TIC-FM-010</w:t>
    </w:r>
  </w:p>
  <w:p w:rsidR="00F77DB8" w:rsidP="00F77DB8" w:rsidRDefault="00F77DB8" w14:paraId="0D0AAF29" w14:textId="3D3F049B">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368" w:rsidRDefault="00B17368" w14:paraId="3D85FBE0" w14:textId="77777777">
      <w:r>
        <w:separator/>
      </w:r>
    </w:p>
  </w:footnote>
  <w:footnote w:type="continuationSeparator" w:id="0">
    <w:p w:rsidR="00B17368" w:rsidRDefault="00B17368" w14:paraId="59AEA02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65" w:rsidRDefault="00416865" w14:paraId="6A9FCA4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07A7D" w:rsidRDefault="00F07A7D" w14:paraId="26AB03BF" w14:textId="77777777">
    <w:pPr>
      <w:pStyle w:val="Encabezado"/>
    </w:pPr>
  </w:p>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4"/>
      <w:gridCol w:w="5775"/>
      <w:gridCol w:w="1449"/>
    </w:tblGrid>
    <w:tr w:rsidR="008C703D" w:rsidTr="008C703D" w14:paraId="190BE4D9" w14:textId="77777777">
      <w:tc>
        <w:tcPr>
          <w:tcW w:w="3574" w:type="dxa"/>
        </w:tcPr>
        <w:p w:rsidRPr="00366F75" w:rsidR="008C703D" w:rsidP="00366F75" w:rsidRDefault="00B237AC" w14:paraId="09BB7B8D" w14:textId="74D00299">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rsidR="008C703D" w:rsidP="001447C1" w:rsidRDefault="008C703D" w14:paraId="787F766F" w14:textId="77777777">
          <w:pPr>
            <w:pStyle w:val="Ttulo2"/>
            <w:ind w:left="72" w:right="72"/>
          </w:pPr>
          <w:r w:rsidRPr="00FD3D04">
            <w:rPr>
              <w:rFonts w:cs="Arial"/>
              <w:bCs/>
              <w:color w:val="000000"/>
              <w:sz w:val="24"/>
              <w:szCs w:val="24"/>
            </w:rPr>
            <w:t>FORMATO MEMORIA JUSTIFICATIVA</w:t>
          </w:r>
        </w:p>
      </w:tc>
      <w:tc>
        <w:tcPr>
          <w:tcW w:w="1449" w:type="dxa"/>
          <w:vAlign w:val="center"/>
        </w:tcPr>
        <w:p w:rsidR="008C703D" w:rsidP="008C703D" w:rsidRDefault="00B237AC" w14:paraId="4CEF7297" w14:textId="7E6064B0">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F07A7D" w:rsidRDefault="00F07A7D" w14:paraId="78571213"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798" w:type="dxa"/>
      <w:tblInd w:w="-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7"/>
      <w:gridCol w:w="5752"/>
      <w:gridCol w:w="1979"/>
    </w:tblGrid>
    <w:tr w:rsidR="008C703D" w:rsidTr="00D97F1C" w14:paraId="20778B37" w14:textId="77777777">
      <w:trPr>
        <w:trHeight w:val="1408"/>
      </w:trPr>
      <w:tc>
        <w:tcPr>
          <w:tcW w:w="3067" w:type="dxa"/>
        </w:tcPr>
        <w:p w:rsidRPr="00366F75" w:rsidR="008C703D" w:rsidP="00D97F1C" w:rsidRDefault="002B5285" w14:paraId="69C28DE1" w14:textId="716EAEEE">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rsidR="008C703D" w:rsidP="00FD3D04" w:rsidRDefault="008C703D" w14:paraId="67C9E327" w14:textId="77777777">
          <w:pPr>
            <w:pStyle w:val="Ttulo2"/>
            <w:ind w:left="72" w:right="72"/>
          </w:pPr>
          <w:r w:rsidRPr="00FD3D04">
            <w:rPr>
              <w:rFonts w:cs="Arial"/>
              <w:bCs/>
              <w:color w:val="000000"/>
              <w:sz w:val="24"/>
              <w:szCs w:val="24"/>
            </w:rPr>
            <w:t>FORMATO MEMORIA JUSTIFICATIVA</w:t>
          </w:r>
        </w:p>
      </w:tc>
      <w:tc>
        <w:tcPr>
          <w:tcW w:w="1979" w:type="dxa"/>
          <w:vAlign w:val="center"/>
        </w:tcPr>
        <w:p w:rsidR="008C703D" w:rsidP="008C703D" w:rsidRDefault="00B237AC" w14:paraId="471C3705" w14:textId="1AC9FB15">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rsidR="00350767" w:rsidRDefault="00350767" w14:paraId="25249300"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hint="default" w:ascii="Arial" w:hAnsi="Arial" w:eastAsia="Arial Unicode MS" w:cs="Arial"/>
      </w:rPr>
    </w:lvl>
    <w:lvl w:ilvl="1" w:tplc="240A000D">
      <w:start w:val="1"/>
      <w:numFmt w:val="bullet"/>
      <w:lvlText w:val=""/>
      <w:lvlJc w:val="left"/>
      <w:pPr>
        <w:ind w:left="1080" w:hanging="360"/>
      </w:pPr>
      <w:rPr>
        <w:rFonts w:hint="default" w:ascii="Wingdings" w:hAnsi="Wingdings"/>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hint="default" w:ascii="Arial" w:hAnsi="Arial" w:eastAsia="Calibri" w:cs="Arial"/>
        <w:b/>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hint="default" w:ascii="Wingdings" w:hAnsi="Wingdings"/>
        <w:color w:val="auto"/>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EF32023"/>
    <w:multiLevelType w:val="hybridMultilevel"/>
    <w:tmpl w:val="E91C692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9" w15:restartNumberingAfterBreak="0">
    <w:nsid w:val="40A3792D"/>
    <w:multiLevelType w:val="hybridMultilevel"/>
    <w:tmpl w:val="1150A77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127B63"/>
    <w:multiLevelType w:val="hybridMultilevel"/>
    <w:tmpl w:val="7BC80F2C"/>
    <w:lvl w:ilvl="0" w:tplc="FFFFFFFF">
      <w:start w:val="1"/>
      <w:numFmt w:val="bullet"/>
      <w:lvlText w:val=""/>
      <w:lvlJc w:val="left"/>
      <w:pPr>
        <w:tabs>
          <w:tab w:val="num" w:pos="720"/>
        </w:tabs>
        <w:ind w:left="720" w:hanging="360"/>
      </w:pPr>
      <w:rPr>
        <w:rFonts w:hint="default" w:ascii="Wingdings" w:hAnsi="Wingdings"/>
      </w:rPr>
    </w:lvl>
    <w:lvl w:ilvl="1" w:tplc="0C0A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AFE38A9"/>
    <w:multiLevelType w:val="hybridMultilevel"/>
    <w:tmpl w:val="B6C654B2"/>
    <w:lvl w:ilvl="0" w:tplc="240A000D">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23" w15:restartNumberingAfterBreak="0">
    <w:nsid w:val="4D811299"/>
    <w:multiLevelType w:val="hybridMultilevel"/>
    <w:tmpl w:val="4CAE1F3E"/>
    <w:lvl w:ilvl="0" w:tplc="C5F83004">
      <w:start w:val="1440"/>
      <w:numFmt w:val="bullet"/>
      <w:lvlText w:val="-"/>
      <w:lvlJc w:val="left"/>
      <w:pPr>
        <w:ind w:left="720" w:hanging="360"/>
      </w:pPr>
      <w:rPr>
        <w:rFonts w:hint="default" w:ascii="Arial" w:hAnsi="Arial" w:eastAsia="Arial Unicode MS"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4F011067"/>
    <w:multiLevelType w:val="hybridMultilevel"/>
    <w:tmpl w:val="762E286E"/>
    <w:lvl w:ilvl="0" w:tplc="886E6516">
      <w:start w:val="1"/>
      <w:numFmt w:val="decimal"/>
      <w:lvlText w:val="%1."/>
      <w:lvlJc w:val="left"/>
      <w:pPr>
        <w:ind w:left="480" w:hanging="360"/>
      </w:pPr>
      <w:rPr>
        <w:rFonts w:hint="default"/>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25" w15:restartNumberingAfterBreak="0">
    <w:nsid w:val="52820AD0"/>
    <w:multiLevelType w:val="hybridMultilevel"/>
    <w:tmpl w:val="44084084"/>
    <w:lvl w:ilvl="0" w:tplc="240A000D">
      <w:start w:val="1"/>
      <w:numFmt w:val="bullet"/>
      <w:lvlText w:val=""/>
      <w:lvlJc w:val="left"/>
      <w:pPr>
        <w:ind w:left="-1020" w:hanging="360"/>
      </w:pPr>
      <w:rPr>
        <w:rFonts w:hint="default" w:ascii="Wingdings" w:hAnsi="Wingdings"/>
      </w:rPr>
    </w:lvl>
    <w:lvl w:ilvl="1" w:tplc="240A0003" w:tentative="1">
      <w:start w:val="1"/>
      <w:numFmt w:val="bullet"/>
      <w:lvlText w:val="o"/>
      <w:lvlJc w:val="left"/>
      <w:pPr>
        <w:ind w:left="-300" w:hanging="360"/>
      </w:pPr>
      <w:rPr>
        <w:rFonts w:hint="default" w:ascii="Courier New" w:hAnsi="Courier New" w:cs="Courier New"/>
      </w:rPr>
    </w:lvl>
    <w:lvl w:ilvl="2" w:tplc="240A0005" w:tentative="1">
      <w:start w:val="1"/>
      <w:numFmt w:val="bullet"/>
      <w:lvlText w:val=""/>
      <w:lvlJc w:val="left"/>
      <w:pPr>
        <w:ind w:left="420" w:hanging="360"/>
      </w:pPr>
      <w:rPr>
        <w:rFonts w:hint="default" w:ascii="Wingdings" w:hAnsi="Wingdings"/>
      </w:rPr>
    </w:lvl>
    <w:lvl w:ilvl="3" w:tplc="240A0001" w:tentative="1">
      <w:start w:val="1"/>
      <w:numFmt w:val="bullet"/>
      <w:lvlText w:val=""/>
      <w:lvlJc w:val="left"/>
      <w:pPr>
        <w:ind w:left="1140" w:hanging="360"/>
      </w:pPr>
      <w:rPr>
        <w:rFonts w:hint="default" w:ascii="Symbol" w:hAnsi="Symbol"/>
      </w:rPr>
    </w:lvl>
    <w:lvl w:ilvl="4" w:tplc="240A0003" w:tentative="1">
      <w:start w:val="1"/>
      <w:numFmt w:val="bullet"/>
      <w:lvlText w:val="o"/>
      <w:lvlJc w:val="left"/>
      <w:pPr>
        <w:ind w:left="1860" w:hanging="360"/>
      </w:pPr>
      <w:rPr>
        <w:rFonts w:hint="default" w:ascii="Courier New" w:hAnsi="Courier New" w:cs="Courier New"/>
      </w:rPr>
    </w:lvl>
    <w:lvl w:ilvl="5" w:tplc="240A0005" w:tentative="1">
      <w:start w:val="1"/>
      <w:numFmt w:val="bullet"/>
      <w:lvlText w:val=""/>
      <w:lvlJc w:val="left"/>
      <w:pPr>
        <w:ind w:left="2580" w:hanging="360"/>
      </w:pPr>
      <w:rPr>
        <w:rFonts w:hint="default" w:ascii="Wingdings" w:hAnsi="Wingdings"/>
      </w:rPr>
    </w:lvl>
    <w:lvl w:ilvl="6" w:tplc="240A0001" w:tentative="1">
      <w:start w:val="1"/>
      <w:numFmt w:val="bullet"/>
      <w:lvlText w:val=""/>
      <w:lvlJc w:val="left"/>
      <w:pPr>
        <w:ind w:left="3300" w:hanging="360"/>
      </w:pPr>
      <w:rPr>
        <w:rFonts w:hint="default" w:ascii="Symbol" w:hAnsi="Symbol"/>
      </w:rPr>
    </w:lvl>
    <w:lvl w:ilvl="7" w:tplc="240A0003" w:tentative="1">
      <w:start w:val="1"/>
      <w:numFmt w:val="bullet"/>
      <w:lvlText w:val="o"/>
      <w:lvlJc w:val="left"/>
      <w:pPr>
        <w:ind w:left="4020" w:hanging="360"/>
      </w:pPr>
      <w:rPr>
        <w:rFonts w:hint="default" w:ascii="Courier New" w:hAnsi="Courier New" w:cs="Courier New"/>
      </w:rPr>
    </w:lvl>
    <w:lvl w:ilvl="8" w:tplc="240A0005" w:tentative="1">
      <w:start w:val="1"/>
      <w:numFmt w:val="bullet"/>
      <w:lvlText w:val=""/>
      <w:lvlJc w:val="left"/>
      <w:pPr>
        <w:ind w:left="4740" w:hanging="360"/>
      </w:pPr>
      <w:rPr>
        <w:rFonts w:hint="default" w:ascii="Wingdings" w:hAnsi="Wingdings"/>
      </w:rPr>
    </w:lvl>
  </w:abstractNum>
  <w:abstractNum w:abstractNumId="26" w15:restartNumberingAfterBreak="0">
    <w:nsid w:val="55612A01"/>
    <w:multiLevelType w:val="hybridMultilevel"/>
    <w:tmpl w:val="516C2342"/>
    <w:lvl w:ilvl="0" w:tplc="240A0003">
      <w:start w:val="1"/>
      <w:numFmt w:val="bullet"/>
      <w:lvlText w:val="o"/>
      <w:lvlJc w:val="left"/>
      <w:pPr>
        <w:ind w:left="1068" w:hanging="360"/>
      </w:pPr>
      <w:rPr>
        <w:rFonts w:hint="default" w:ascii="Courier New" w:hAnsi="Courier New" w:cs="Courier New"/>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27"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88006D"/>
    <w:multiLevelType w:val="hybridMultilevel"/>
    <w:tmpl w:val="1F986C7A"/>
    <w:lvl w:ilvl="0" w:tplc="240A000D">
      <w:start w:val="1"/>
      <w:numFmt w:val="bullet"/>
      <w:lvlText w:val=""/>
      <w:lvlJc w:val="left"/>
      <w:pPr>
        <w:ind w:left="1068" w:hanging="360"/>
      </w:pPr>
      <w:rPr>
        <w:rFonts w:hint="default" w:ascii="Wingdings" w:hAnsi="Wingdings"/>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29" w15:restartNumberingAfterBreak="0">
    <w:nsid w:val="599274BB"/>
    <w:multiLevelType w:val="hybridMultilevel"/>
    <w:tmpl w:val="19B6D61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0" w15:restartNumberingAfterBreak="0">
    <w:nsid w:val="5AC27BD1"/>
    <w:multiLevelType w:val="hybridMultilevel"/>
    <w:tmpl w:val="B00A2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0A438E4"/>
    <w:multiLevelType w:val="hybridMultilevel"/>
    <w:tmpl w:val="1602CE3A"/>
    <w:lvl w:ilvl="0" w:tplc="BB08A936">
      <w:numFmt w:val="bullet"/>
      <w:lvlText w:val="-"/>
      <w:lvlJc w:val="left"/>
      <w:pPr>
        <w:ind w:left="322" w:hanging="360"/>
      </w:pPr>
      <w:rPr>
        <w:rFonts w:hint="default" w:ascii="Arial" w:hAnsi="Arial" w:eastAsia="Times" w:cs="Arial"/>
      </w:rPr>
    </w:lvl>
    <w:lvl w:ilvl="1" w:tplc="240A0003" w:tentative="1">
      <w:start w:val="1"/>
      <w:numFmt w:val="bullet"/>
      <w:lvlText w:val="o"/>
      <w:lvlJc w:val="left"/>
      <w:pPr>
        <w:ind w:left="1042" w:hanging="360"/>
      </w:pPr>
      <w:rPr>
        <w:rFonts w:hint="default" w:ascii="Courier New" w:hAnsi="Courier New" w:cs="Courier New"/>
      </w:rPr>
    </w:lvl>
    <w:lvl w:ilvl="2" w:tplc="240A0005" w:tentative="1">
      <w:start w:val="1"/>
      <w:numFmt w:val="bullet"/>
      <w:lvlText w:val=""/>
      <w:lvlJc w:val="left"/>
      <w:pPr>
        <w:ind w:left="1762" w:hanging="360"/>
      </w:pPr>
      <w:rPr>
        <w:rFonts w:hint="default" w:ascii="Wingdings" w:hAnsi="Wingdings"/>
      </w:rPr>
    </w:lvl>
    <w:lvl w:ilvl="3" w:tplc="240A0001" w:tentative="1">
      <w:start w:val="1"/>
      <w:numFmt w:val="bullet"/>
      <w:lvlText w:val=""/>
      <w:lvlJc w:val="left"/>
      <w:pPr>
        <w:ind w:left="2482" w:hanging="360"/>
      </w:pPr>
      <w:rPr>
        <w:rFonts w:hint="default" w:ascii="Symbol" w:hAnsi="Symbol"/>
      </w:rPr>
    </w:lvl>
    <w:lvl w:ilvl="4" w:tplc="240A0003" w:tentative="1">
      <w:start w:val="1"/>
      <w:numFmt w:val="bullet"/>
      <w:lvlText w:val="o"/>
      <w:lvlJc w:val="left"/>
      <w:pPr>
        <w:ind w:left="3202" w:hanging="360"/>
      </w:pPr>
      <w:rPr>
        <w:rFonts w:hint="default" w:ascii="Courier New" w:hAnsi="Courier New" w:cs="Courier New"/>
      </w:rPr>
    </w:lvl>
    <w:lvl w:ilvl="5" w:tplc="240A0005" w:tentative="1">
      <w:start w:val="1"/>
      <w:numFmt w:val="bullet"/>
      <w:lvlText w:val=""/>
      <w:lvlJc w:val="left"/>
      <w:pPr>
        <w:ind w:left="3922" w:hanging="360"/>
      </w:pPr>
      <w:rPr>
        <w:rFonts w:hint="default" w:ascii="Wingdings" w:hAnsi="Wingdings"/>
      </w:rPr>
    </w:lvl>
    <w:lvl w:ilvl="6" w:tplc="240A0001" w:tentative="1">
      <w:start w:val="1"/>
      <w:numFmt w:val="bullet"/>
      <w:lvlText w:val=""/>
      <w:lvlJc w:val="left"/>
      <w:pPr>
        <w:ind w:left="4642" w:hanging="360"/>
      </w:pPr>
      <w:rPr>
        <w:rFonts w:hint="default" w:ascii="Symbol" w:hAnsi="Symbol"/>
      </w:rPr>
    </w:lvl>
    <w:lvl w:ilvl="7" w:tplc="240A0003" w:tentative="1">
      <w:start w:val="1"/>
      <w:numFmt w:val="bullet"/>
      <w:lvlText w:val="o"/>
      <w:lvlJc w:val="left"/>
      <w:pPr>
        <w:ind w:left="5362" w:hanging="360"/>
      </w:pPr>
      <w:rPr>
        <w:rFonts w:hint="default" w:ascii="Courier New" w:hAnsi="Courier New" w:cs="Courier New"/>
      </w:rPr>
    </w:lvl>
    <w:lvl w:ilvl="8" w:tplc="240A0005" w:tentative="1">
      <w:start w:val="1"/>
      <w:numFmt w:val="bullet"/>
      <w:lvlText w:val=""/>
      <w:lvlJc w:val="left"/>
      <w:pPr>
        <w:ind w:left="6082" w:hanging="360"/>
      </w:pPr>
      <w:rPr>
        <w:rFonts w:hint="default" w:ascii="Wingdings" w:hAnsi="Wingdings"/>
      </w:rPr>
    </w:lvl>
  </w:abstractNum>
  <w:abstractNum w:abstractNumId="35" w15:restartNumberingAfterBreak="0">
    <w:nsid w:val="64573526"/>
    <w:multiLevelType w:val="hybridMultilevel"/>
    <w:tmpl w:val="665E973A"/>
    <w:lvl w:ilvl="0" w:tplc="2C08755A">
      <w:start w:val="1"/>
      <w:numFmt w:val="bullet"/>
      <w:lvlText w:val="•"/>
      <w:lvlJc w:val="left"/>
      <w:pPr>
        <w:tabs>
          <w:tab w:val="num" w:pos="999"/>
        </w:tabs>
        <w:ind w:left="999" w:hanging="360"/>
      </w:pPr>
      <w:rPr>
        <w:rFonts w:hint="default" w:ascii="Arial" w:hAnsi="Arial"/>
      </w:rPr>
    </w:lvl>
    <w:lvl w:ilvl="1" w:tplc="5AD0665A" w:tentative="1">
      <w:start w:val="1"/>
      <w:numFmt w:val="bullet"/>
      <w:lvlText w:val="•"/>
      <w:lvlJc w:val="left"/>
      <w:pPr>
        <w:tabs>
          <w:tab w:val="num" w:pos="1719"/>
        </w:tabs>
        <w:ind w:left="1719" w:hanging="360"/>
      </w:pPr>
      <w:rPr>
        <w:rFonts w:hint="default" w:ascii="Arial" w:hAnsi="Arial"/>
      </w:rPr>
    </w:lvl>
    <w:lvl w:ilvl="2" w:tplc="2AD44A04" w:tentative="1">
      <w:start w:val="1"/>
      <w:numFmt w:val="bullet"/>
      <w:lvlText w:val="•"/>
      <w:lvlJc w:val="left"/>
      <w:pPr>
        <w:tabs>
          <w:tab w:val="num" w:pos="2439"/>
        </w:tabs>
        <w:ind w:left="2439" w:hanging="360"/>
      </w:pPr>
      <w:rPr>
        <w:rFonts w:hint="default" w:ascii="Arial" w:hAnsi="Arial"/>
      </w:rPr>
    </w:lvl>
    <w:lvl w:ilvl="3" w:tplc="07082974" w:tentative="1">
      <w:start w:val="1"/>
      <w:numFmt w:val="bullet"/>
      <w:lvlText w:val="•"/>
      <w:lvlJc w:val="left"/>
      <w:pPr>
        <w:tabs>
          <w:tab w:val="num" w:pos="3159"/>
        </w:tabs>
        <w:ind w:left="3159" w:hanging="360"/>
      </w:pPr>
      <w:rPr>
        <w:rFonts w:hint="default" w:ascii="Arial" w:hAnsi="Arial"/>
      </w:rPr>
    </w:lvl>
    <w:lvl w:ilvl="4" w:tplc="CD76DC7C" w:tentative="1">
      <w:start w:val="1"/>
      <w:numFmt w:val="bullet"/>
      <w:lvlText w:val="•"/>
      <w:lvlJc w:val="left"/>
      <w:pPr>
        <w:tabs>
          <w:tab w:val="num" w:pos="3879"/>
        </w:tabs>
        <w:ind w:left="3879" w:hanging="360"/>
      </w:pPr>
      <w:rPr>
        <w:rFonts w:hint="default" w:ascii="Arial" w:hAnsi="Arial"/>
      </w:rPr>
    </w:lvl>
    <w:lvl w:ilvl="5" w:tplc="3D28A6E6" w:tentative="1">
      <w:start w:val="1"/>
      <w:numFmt w:val="bullet"/>
      <w:lvlText w:val="•"/>
      <w:lvlJc w:val="left"/>
      <w:pPr>
        <w:tabs>
          <w:tab w:val="num" w:pos="4599"/>
        </w:tabs>
        <w:ind w:left="4599" w:hanging="360"/>
      </w:pPr>
      <w:rPr>
        <w:rFonts w:hint="default" w:ascii="Arial" w:hAnsi="Arial"/>
      </w:rPr>
    </w:lvl>
    <w:lvl w:ilvl="6" w:tplc="590A4E18" w:tentative="1">
      <w:start w:val="1"/>
      <w:numFmt w:val="bullet"/>
      <w:lvlText w:val="•"/>
      <w:lvlJc w:val="left"/>
      <w:pPr>
        <w:tabs>
          <w:tab w:val="num" w:pos="5319"/>
        </w:tabs>
        <w:ind w:left="5319" w:hanging="360"/>
      </w:pPr>
      <w:rPr>
        <w:rFonts w:hint="default" w:ascii="Arial" w:hAnsi="Arial"/>
      </w:rPr>
    </w:lvl>
    <w:lvl w:ilvl="7" w:tplc="56BA76D8" w:tentative="1">
      <w:start w:val="1"/>
      <w:numFmt w:val="bullet"/>
      <w:lvlText w:val="•"/>
      <w:lvlJc w:val="left"/>
      <w:pPr>
        <w:tabs>
          <w:tab w:val="num" w:pos="6039"/>
        </w:tabs>
        <w:ind w:left="6039" w:hanging="360"/>
      </w:pPr>
      <w:rPr>
        <w:rFonts w:hint="default" w:ascii="Arial" w:hAnsi="Arial"/>
      </w:rPr>
    </w:lvl>
    <w:lvl w:ilvl="8" w:tplc="D56AD64E" w:tentative="1">
      <w:start w:val="1"/>
      <w:numFmt w:val="bullet"/>
      <w:lvlText w:val="•"/>
      <w:lvlJc w:val="left"/>
      <w:pPr>
        <w:tabs>
          <w:tab w:val="num" w:pos="6759"/>
        </w:tabs>
        <w:ind w:left="6759" w:hanging="360"/>
      </w:pPr>
      <w:rPr>
        <w:rFonts w:hint="default" w:ascii="Arial" w:hAnsi="Arial"/>
      </w:rPr>
    </w:lvl>
  </w:abstractNum>
  <w:abstractNum w:abstractNumId="36" w15:restartNumberingAfterBreak="0">
    <w:nsid w:val="65C86972"/>
    <w:multiLevelType w:val="hybridMultilevel"/>
    <w:tmpl w:val="EF60E5BA"/>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686B288C"/>
    <w:multiLevelType w:val="hybridMultilevel"/>
    <w:tmpl w:val="5128FBFE"/>
    <w:lvl w:ilvl="0" w:tplc="91305F2A">
      <w:start w:val="1"/>
      <w:numFmt w:val="lowerLetter"/>
      <w:lvlText w:val="%1)"/>
      <w:lvlJc w:val="left"/>
      <w:pPr>
        <w:ind w:left="916" w:hanging="360"/>
      </w:pPr>
      <w:rPr>
        <w:rFonts w:hint="default"/>
      </w:rPr>
    </w:lvl>
    <w:lvl w:ilvl="1" w:tplc="240A0019" w:tentative="1">
      <w:start w:val="1"/>
      <w:numFmt w:val="lowerLetter"/>
      <w:lvlText w:val="%2."/>
      <w:lvlJc w:val="left"/>
      <w:pPr>
        <w:ind w:left="1636" w:hanging="360"/>
      </w:pPr>
    </w:lvl>
    <w:lvl w:ilvl="2" w:tplc="240A001B" w:tentative="1">
      <w:start w:val="1"/>
      <w:numFmt w:val="lowerRoman"/>
      <w:lvlText w:val="%3."/>
      <w:lvlJc w:val="right"/>
      <w:pPr>
        <w:ind w:left="2356" w:hanging="180"/>
      </w:pPr>
    </w:lvl>
    <w:lvl w:ilvl="3" w:tplc="240A000F" w:tentative="1">
      <w:start w:val="1"/>
      <w:numFmt w:val="decimal"/>
      <w:lvlText w:val="%4."/>
      <w:lvlJc w:val="left"/>
      <w:pPr>
        <w:ind w:left="3076" w:hanging="360"/>
      </w:pPr>
    </w:lvl>
    <w:lvl w:ilvl="4" w:tplc="240A0019" w:tentative="1">
      <w:start w:val="1"/>
      <w:numFmt w:val="lowerLetter"/>
      <w:lvlText w:val="%5."/>
      <w:lvlJc w:val="left"/>
      <w:pPr>
        <w:ind w:left="3796" w:hanging="360"/>
      </w:pPr>
    </w:lvl>
    <w:lvl w:ilvl="5" w:tplc="240A001B" w:tentative="1">
      <w:start w:val="1"/>
      <w:numFmt w:val="lowerRoman"/>
      <w:lvlText w:val="%6."/>
      <w:lvlJc w:val="right"/>
      <w:pPr>
        <w:ind w:left="4516" w:hanging="180"/>
      </w:pPr>
    </w:lvl>
    <w:lvl w:ilvl="6" w:tplc="240A000F" w:tentative="1">
      <w:start w:val="1"/>
      <w:numFmt w:val="decimal"/>
      <w:lvlText w:val="%7."/>
      <w:lvlJc w:val="left"/>
      <w:pPr>
        <w:ind w:left="5236" w:hanging="360"/>
      </w:pPr>
    </w:lvl>
    <w:lvl w:ilvl="7" w:tplc="240A0019" w:tentative="1">
      <w:start w:val="1"/>
      <w:numFmt w:val="lowerLetter"/>
      <w:lvlText w:val="%8."/>
      <w:lvlJc w:val="left"/>
      <w:pPr>
        <w:ind w:left="5956" w:hanging="360"/>
      </w:pPr>
    </w:lvl>
    <w:lvl w:ilvl="8" w:tplc="240A001B" w:tentative="1">
      <w:start w:val="1"/>
      <w:numFmt w:val="lowerRoman"/>
      <w:lvlText w:val="%9."/>
      <w:lvlJc w:val="right"/>
      <w:pPr>
        <w:ind w:left="6676" w:hanging="180"/>
      </w:pPr>
    </w:lvl>
  </w:abstractNum>
  <w:abstractNum w:abstractNumId="39" w15:restartNumberingAfterBreak="0">
    <w:nsid w:val="6AFA48A5"/>
    <w:multiLevelType w:val="hybridMultilevel"/>
    <w:tmpl w:val="3E2221D4"/>
    <w:lvl w:ilvl="0" w:tplc="0C0A0005">
      <w:start w:val="1"/>
      <w:numFmt w:val="bullet"/>
      <w:lvlText w:val=""/>
      <w:lvlJc w:val="left"/>
      <w:pPr>
        <w:tabs>
          <w:tab w:val="num" w:pos="720"/>
        </w:tabs>
        <w:ind w:left="720" w:hanging="360"/>
      </w:pPr>
      <w:rPr>
        <w:rFonts w:hint="default" w:ascii="Wingdings" w:hAnsi="Wingdings"/>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hint="default" w:cs="Times New Roman"/>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074639D"/>
    <w:multiLevelType w:val="hybridMultilevel"/>
    <w:tmpl w:val="F692C1A2"/>
    <w:lvl w:ilvl="0" w:tplc="240A000D">
      <w:start w:val="1"/>
      <w:numFmt w:val="bullet"/>
      <w:lvlText w:val=""/>
      <w:lvlJc w:val="left"/>
      <w:pPr>
        <w:ind w:left="1500" w:hanging="360"/>
      </w:pPr>
      <w:rPr>
        <w:rFonts w:hint="default" w:ascii="Wingdings" w:hAnsi="Wingdings"/>
      </w:rPr>
    </w:lvl>
    <w:lvl w:ilvl="1" w:tplc="240A0003">
      <w:start w:val="1"/>
      <w:numFmt w:val="bullet"/>
      <w:lvlText w:val="o"/>
      <w:lvlJc w:val="left"/>
      <w:pPr>
        <w:ind w:left="2220" w:hanging="360"/>
      </w:pPr>
      <w:rPr>
        <w:rFonts w:hint="default" w:ascii="Courier New" w:hAnsi="Courier New" w:cs="Courier New"/>
      </w:rPr>
    </w:lvl>
    <w:lvl w:ilvl="2" w:tplc="240A0005">
      <w:start w:val="1"/>
      <w:numFmt w:val="bullet"/>
      <w:lvlText w:val=""/>
      <w:lvlJc w:val="left"/>
      <w:pPr>
        <w:ind w:left="2940" w:hanging="360"/>
      </w:pPr>
      <w:rPr>
        <w:rFonts w:hint="default" w:ascii="Wingdings" w:hAnsi="Wingdings"/>
      </w:rPr>
    </w:lvl>
    <w:lvl w:ilvl="3" w:tplc="240A0001">
      <w:start w:val="1"/>
      <w:numFmt w:val="bullet"/>
      <w:lvlText w:val=""/>
      <w:lvlJc w:val="left"/>
      <w:pPr>
        <w:ind w:left="3660" w:hanging="360"/>
      </w:pPr>
      <w:rPr>
        <w:rFonts w:hint="default" w:ascii="Symbol" w:hAnsi="Symbol"/>
      </w:rPr>
    </w:lvl>
    <w:lvl w:ilvl="4" w:tplc="240A0003">
      <w:start w:val="1"/>
      <w:numFmt w:val="bullet"/>
      <w:lvlText w:val="o"/>
      <w:lvlJc w:val="left"/>
      <w:pPr>
        <w:ind w:left="4380" w:hanging="360"/>
      </w:pPr>
      <w:rPr>
        <w:rFonts w:hint="default" w:ascii="Courier New" w:hAnsi="Courier New" w:cs="Courier New"/>
      </w:rPr>
    </w:lvl>
    <w:lvl w:ilvl="5" w:tplc="240A0005">
      <w:start w:val="1"/>
      <w:numFmt w:val="bullet"/>
      <w:lvlText w:val=""/>
      <w:lvlJc w:val="left"/>
      <w:pPr>
        <w:ind w:left="5100" w:hanging="360"/>
      </w:pPr>
      <w:rPr>
        <w:rFonts w:hint="default" w:ascii="Wingdings" w:hAnsi="Wingdings"/>
      </w:rPr>
    </w:lvl>
    <w:lvl w:ilvl="6" w:tplc="240A0001">
      <w:start w:val="1"/>
      <w:numFmt w:val="bullet"/>
      <w:lvlText w:val=""/>
      <w:lvlJc w:val="left"/>
      <w:pPr>
        <w:ind w:left="5820" w:hanging="360"/>
      </w:pPr>
      <w:rPr>
        <w:rFonts w:hint="default" w:ascii="Symbol" w:hAnsi="Symbol"/>
      </w:rPr>
    </w:lvl>
    <w:lvl w:ilvl="7" w:tplc="240A0003">
      <w:start w:val="1"/>
      <w:numFmt w:val="bullet"/>
      <w:lvlText w:val="o"/>
      <w:lvlJc w:val="left"/>
      <w:pPr>
        <w:ind w:left="6540" w:hanging="360"/>
      </w:pPr>
      <w:rPr>
        <w:rFonts w:hint="default" w:ascii="Courier New" w:hAnsi="Courier New" w:cs="Courier New"/>
      </w:rPr>
    </w:lvl>
    <w:lvl w:ilvl="8" w:tplc="240A0005">
      <w:start w:val="1"/>
      <w:numFmt w:val="bullet"/>
      <w:lvlText w:val=""/>
      <w:lvlJc w:val="left"/>
      <w:pPr>
        <w:ind w:left="7260" w:hanging="360"/>
      </w:pPr>
      <w:rPr>
        <w:rFonts w:hint="default" w:ascii="Wingdings" w:hAnsi="Wingdings"/>
      </w:rPr>
    </w:lvl>
  </w:abstractNum>
  <w:abstractNum w:abstractNumId="43"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7813B2"/>
    <w:multiLevelType w:val="hybridMultilevel"/>
    <w:tmpl w:val="C8E461B0"/>
    <w:lvl w:ilvl="0" w:tplc="A26EE73E">
      <w:numFmt w:val="bullet"/>
      <w:lvlText w:val="-"/>
      <w:lvlJc w:val="left"/>
      <w:pPr>
        <w:ind w:left="720" w:hanging="360"/>
      </w:pPr>
      <w:rPr>
        <w:rFonts w:hint="default" w:ascii="Calibri" w:hAnsi="Calibri" w:eastAsia="Calibri" w:cs="Calibri"/>
        <w:sz w:val="24"/>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9764210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7"/>
  </w:num>
  <w:num w:numId="3" w16cid:durableId="1114012470">
    <w:abstractNumId w:val="39"/>
  </w:num>
  <w:num w:numId="4" w16cid:durableId="1495878750">
    <w:abstractNumId w:val="8"/>
  </w:num>
  <w:num w:numId="5" w16cid:durableId="557397461">
    <w:abstractNumId w:val="16"/>
  </w:num>
  <w:num w:numId="6" w16cid:durableId="1452363128">
    <w:abstractNumId w:val="32"/>
  </w:num>
  <w:num w:numId="7" w16cid:durableId="2077507905">
    <w:abstractNumId w:val="9"/>
  </w:num>
  <w:num w:numId="8" w16cid:durableId="723873387">
    <w:abstractNumId w:val="17"/>
  </w:num>
  <w:num w:numId="9" w16cid:durableId="1274945304">
    <w:abstractNumId w:val="6"/>
  </w:num>
  <w:num w:numId="10" w16cid:durableId="1682467277">
    <w:abstractNumId w:val="21"/>
  </w:num>
  <w:num w:numId="11" w16cid:durableId="295569971">
    <w:abstractNumId w:val="13"/>
  </w:num>
  <w:num w:numId="12" w16cid:durableId="2041587928">
    <w:abstractNumId w:val="33"/>
  </w:num>
  <w:num w:numId="13" w16cid:durableId="1143962759">
    <w:abstractNumId w:val="40"/>
  </w:num>
  <w:num w:numId="14" w16cid:durableId="1810778263">
    <w:abstractNumId w:val="41"/>
  </w:num>
  <w:num w:numId="15" w16cid:durableId="203448388">
    <w:abstractNumId w:val="1"/>
  </w:num>
  <w:num w:numId="16" w16cid:durableId="330059455">
    <w:abstractNumId w:val="22"/>
  </w:num>
  <w:num w:numId="17" w16cid:durableId="1056273102">
    <w:abstractNumId w:val="4"/>
  </w:num>
  <w:num w:numId="18" w16cid:durableId="1453358682">
    <w:abstractNumId w:val="25"/>
  </w:num>
  <w:num w:numId="19" w16cid:durableId="1318607125">
    <w:abstractNumId w:val="28"/>
  </w:num>
  <w:num w:numId="20" w16cid:durableId="1493982206">
    <w:abstractNumId w:val="0"/>
  </w:num>
  <w:num w:numId="21" w16cid:durableId="1404764881">
    <w:abstractNumId w:val="10"/>
  </w:num>
  <w:num w:numId="22" w16cid:durableId="1919055955">
    <w:abstractNumId w:val="19"/>
  </w:num>
  <w:num w:numId="23" w16cid:durableId="83886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37"/>
  </w:num>
  <w:num w:numId="25" w16cid:durableId="1019695677">
    <w:abstractNumId w:val="11"/>
  </w:num>
  <w:num w:numId="26" w16cid:durableId="102964004">
    <w:abstractNumId w:val="30"/>
  </w:num>
  <w:num w:numId="27" w16cid:durableId="1155758818">
    <w:abstractNumId w:val="27"/>
  </w:num>
  <w:num w:numId="28" w16cid:durableId="2067606572">
    <w:abstractNumId w:val="42"/>
  </w:num>
  <w:num w:numId="29" w16cid:durableId="553347100">
    <w:abstractNumId w:val="1"/>
  </w:num>
  <w:num w:numId="30" w16cid:durableId="673649708">
    <w:abstractNumId w:val="44"/>
  </w:num>
  <w:num w:numId="31" w16cid:durableId="279722129">
    <w:abstractNumId w:val="23"/>
  </w:num>
  <w:num w:numId="32" w16cid:durableId="151995985">
    <w:abstractNumId w:val="36"/>
  </w:num>
  <w:num w:numId="33" w16cid:durableId="1907762944">
    <w:abstractNumId w:val="26"/>
  </w:num>
  <w:num w:numId="34" w16cid:durableId="299191416">
    <w:abstractNumId w:val="35"/>
  </w:num>
  <w:num w:numId="35" w16cid:durableId="525797091">
    <w:abstractNumId w:val="14"/>
  </w:num>
  <w:num w:numId="36" w16cid:durableId="467937655">
    <w:abstractNumId w:val="5"/>
  </w:num>
  <w:num w:numId="37" w16cid:durableId="966008284">
    <w:abstractNumId w:val="2"/>
  </w:num>
  <w:num w:numId="38" w16cid:durableId="1033503056">
    <w:abstractNumId w:val="29"/>
  </w:num>
  <w:num w:numId="39" w16cid:durableId="203366704">
    <w:abstractNumId w:val="34"/>
  </w:num>
  <w:num w:numId="40" w16cid:durableId="628248666">
    <w:abstractNumId w:val="15"/>
  </w:num>
  <w:num w:numId="41" w16cid:durableId="1310479933">
    <w:abstractNumId w:val="43"/>
  </w:num>
  <w:num w:numId="42" w16cid:durableId="1873301327">
    <w:abstractNumId w:val="18"/>
  </w:num>
  <w:num w:numId="43" w16cid:durableId="2075932516">
    <w:abstractNumId w:val="3"/>
  </w:num>
  <w:num w:numId="44" w16cid:durableId="1847743704">
    <w:abstractNumId w:val="12"/>
  </w:num>
  <w:num w:numId="45" w16cid:durableId="1570381999">
    <w:abstractNumId w:val="20"/>
  </w:num>
  <w:num w:numId="46" w16cid:durableId="627009898">
    <w:abstractNumId w:val="24"/>
  </w:num>
  <w:num w:numId="47" w16cid:durableId="182941912">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0000"/>
    <w:rsid w:val="00003D24"/>
    <w:rsid w:val="00006F83"/>
    <w:rsid w:val="00007F07"/>
    <w:rsid w:val="00013C42"/>
    <w:rsid w:val="00014D67"/>
    <w:rsid w:val="00016A94"/>
    <w:rsid w:val="00021FCC"/>
    <w:rsid w:val="00024F34"/>
    <w:rsid w:val="0002546A"/>
    <w:rsid w:val="00032CBF"/>
    <w:rsid w:val="0004205E"/>
    <w:rsid w:val="00047A6E"/>
    <w:rsid w:val="00050524"/>
    <w:rsid w:val="00066463"/>
    <w:rsid w:val="0007636F"/>
    <w:rsid w:val="00081CEE"/>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512E"/>
    <w:rsid w:val="000E0152"/>
    <w:rsid w:val="000E1C6F"/>
    <w:rsid w:val="000E370D"/>
    <w:rsid w:val="000E65A4"/>
    <w:rsid w:val="00105533"/>
    <w:rsid w:val="001072FB"/>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C013E"/>
    <w:rsid w:val="001D1743"/>
    <w:rsid w:val="001D17CF"/>
    <w:rsid w:val="001E2543"/>
    <w:rsid w:val="001E6C60"/>
    <w:rsid w:val="001F238A"/>
    <w:rsid w:val="002171A2"/>
    <w:rsid w:val="002217D1"/>
    <w:rsid w:val="00224C94"/>
    <w:rsid w:val="002264B8"/>
    <w:rsid w:val="00235361"/>
    <w:rsid w:val="00236F62"/>
    <w:rsid w:val="00237D76"/>
    <w:rsid w:val="00251FCE"/>
    <w:rsid w:val="00252F13"/>
    <w:rsid w:val="00254313"/>
    <w:rsid w:val="0026513E"/>
    <w:rsid w:val="002729A5"/>
    <w:rsid w:val="002862C1"/>
    <w:rsid w:val="00286449"/>
    <w:rsid w:val="00287EC3"/>
    <w:rsid w:val="00293F29"/>
    <w:rsid w:val="002941D1"/>
    <w:rsid w:val="002A18A5"/>
    <w:rsid w:val="002A2A12"/>
    <w:rsid w:val="002B5285"/>
    <w:rsid w:val="002C05D0"/>
    <w:rsid w:val="002C6429"/>
    <w:rsid w:val="002D096D"/>
    <w:rsid w:val="002D11FE"/>
    <w:rsid w:val="002D2CB2"/>
    <w:rsid w:val="002D35EC"/>
    <w:rsid w:val="002D3FE3"/>
    <w:rsid w:val="002D5E8B"/>
    <w:rsid w:val="002E23D8"/>
    <w:rsid w:val="002E4A97"/>
    <w:rsid w:val="002E71C4"/>
    <w:rsid w:val="002F226A"/>
    <w:rsid w:val="00301DC2"/>
    <w:rsid w:val="003227FD"/>
    <w:rsid w:val="00325A55"/>
    <w:rsid w:val="00330BA3"/>
    <w:rsid w:val="003343DB"/>
    <w:rsid w:val="00336655"/>
    <w:rsid w:val="00342B3C"/>
    <w:rsid w:val="00346554"/>
    <w:rsid w:val="003503EB"/>
    <w:rsid w:val="00350767"/>
    <w:rsid w:val="00350E4B"/>
    <w:rsid w:val="003533A1"/>
    <w:rsid w:val="003650D5"/>
    <w:rsid w:val="003651DE"/>
    <w:rsid w:val="00366F75"/>
    <w:rsid w:val="00367CB8"/>
    <w:rsid w:val="003711C0"/>
    <w:rsid w:val="00373197"/>
    <w:rsid w:val="00375BFA"/>
    <w:rsid w:val="0038390A"/>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5CE5"/>
    <w:rsid w:val="0041604F"/>
    <w:rsid w:val="00416865"/>
    <w:rsid w:val="00427DD9"/>
    <w:rsid w:val="004317DB"/>
    <w:rsid w:val="00432C5C"/>
    <w:rsid w:val="00437C19"/>
    <w:rsid w:val="00461D1F"/>
    <w:rsid w:val="0046422D"/>
    <w:rsid w:val="00470148"/>
    <w:rsid w:val="00470526"/>
    <w:rsid w:val="004724CB"/>
    <w:rsid w:val="004848A4"/>
    <w:rsid w:val="004965F6"/>
    <w:rsid w:val="004A0755"/>
    <w:rsid w:val="004A6BE3"/>
    <w:rsid w:val="004B078F"/>
    <w:rsid w:val="004C4371"/>
    <w:rsid w:val="004C7D38"/>
    <w:rsid w:val="004D0D86"/>
    <w:rsid w:val="004D10C6"/>
    <w:rsid w:val="004D2643"/>
    <w:rsid w:val="004D294E"/>
    <w:rsid w:val="004D2DD4"/>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F30C3"/>
    <w:rsid w:val="005F7863"/>
    <w:rsid w:val="0060353B"/>
    <w:rsid w:val="00620876"/>
    <w:rsid w:val="00624FD0"/>
    <w:rsid w:val="00630C5E"/>
    <w:rsid w:val="006315B4"/>
    <w:rsid w:val="00632953"/>
    <w:rsid w:val="00635AC3"/>
    <w:rsid w:val="00636FFB"/>
    <w:rsid w:val="00654CCF"/>
    <w:rsid w:val="00665F82"/>
    <w:rsid w:val="0067186C"/>
    <w:rsid w:val="00671E11"/>
    <w:rsid w:val="006738E9"/>
    <w:rsid w:val="006779DA"/>
    <w:rsid w:val="00687EB3"/>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4D44"/>
    <w:rsid w:val="00715A68"/>
    <w:rsid w:val="00715DD5"/>
    <w:rsid w:val="00715ECF"/>
    <w:rsid w:val="00716282"/>
    <w:rsid w:val="00717A04"/>
    <w:rsid w:val="00717BFE"/>
    <w:rsid w:val="007208C5"/>
    <w:rsid w:val="00725BB4"/>
    <w:rsid w:val="0073180A"/>
    <w:rsid w:val="00732997"/>
    <w:rsid w:val="007336C3"/>
    <w:rsid w:val="00735033"/>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332B"/>
    <w:rsid w:val="007B622D"/>
    <w:rsid w:val="007C4288"/>
    <w:rsid w:val="007C484E"/>
    <w:rsid w:val="007D4853"/>
    <w:rsid w:val="007D57C4"/>
    <w:rsid w:val="007E0429"/>
    <w:rsid w:val="007E41DE"/>
    <w:rsid w:val="007E4CE3"/>
    <w:rsid w:val="007F2B1F"/>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48CA"/>
    <w:rsid w:val="008477A9"/>
    <w:rsid w:val="0085416A"/>
    <w:rsid w:val="00856B0F"/>
    <w:rsid w:val="0087186A"/>
    <w:rsid w:val="00872C56"/>
    <w:rsid w:val="00874F67"/>
    <w:rsid w:val="00876AC2"/>
    <w:rsid w:val="00883F43"/>
    <w:rsid w:val="00884C98"/>
    <w:rsid w:val="00884CE2"/>
    <w:rsid w:val="00885E7D"/>
    <w:rsid w:val="00893270"/>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43F4"/>
    <w:rsid w:val="008F42F6"/>
    <w:rsid w:val="008F5282"/>
    <w:rsid w:val="00912BAC"/>
    <w:rsid w:val="00925058"/>
    <w:rsid w:val="00926CDB"/>
    <w:rsid w:val="00930113"/>
    <w:rsid w:val="009356EC"/>
    <w:rsid w:val="00937FB2"/>
    <w:rsid w:val="0094114F"/>
    <w:rsid w:val="00955F42"/>
    <w:rsid w:val="0095690D"/>
    <w:rsid w:val="009609C5"/>
    <w:rsid w:val="00965B1A"/>
    <w:rsid w:val="00971B57"/>
    <w:rsid w:val="00973208"/>
    <w:rsid w:val="00976933"/>
    <w:rsid w:val="00981893"/>
    <w:rsid w:val="00984974"/>
    <w:rsid w:val="00986438"/>
    <w:rsid w:val="00987DBF"/>
    <w:rsid w:val="009970F9"/>
    <w:rsid w:val="009A5590"/>
    <w:rsid w:val="009C3837"/>
    <w:rsid w:val="009C44BD"/>
    <w:rsid w:val="009C537F"/>
    <w:rsid w:val="009D0585"/>
    <w:rsid w:val="009D2BB3"/>
    <w:rsid w:val="009E0846"/>
    <w:rsid w:val="009E08CA"/>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4633D"/>
    <w:rsid w:val="00A500DD"/>
    <w:rsid w:val="00A52C3F"/>
    <w:rsid w:val="00A55DB6"/>
    <w:rsid w:val="00A61784"/>
    <w:rsid w:val="00A64120"/>
    <w:rsid w:val="00A72973"/>
    <w:rsid w:val="00A74AFD"/>
    <w:rsid w:val="00A80613"/>
    <w:rsid w:val="00A83A98"/>
    <w:rsid w:val="00A85AEA"/>
    <w:rsid w:val="00A94019"/>
    <w:rsid w:val="00AA28E8"/>
    <w:rsid w:val="00AB0708"/>
    <w:rsid w:val="00AB0C45"/>
    <w:rsid w:val="00AB6652"/>
    <w:rsid w:val="00AC1AF8"/>
    <w:rsid w:val="00AC447D"/>
    <w:rsid w:val="00AD21C1"/>
    <w:rsid w:val="00AD5446"/>
    <w:rsid w:val="00AD623F"/>
    <w:rsid w:val="00AE03F3"/>
    <w:rsid w:val="00AF569A"/>
    <w:rsid w:val="00AF5E71"/>
    <w:rsid w:val="00B13AE3"/>
    <w:rsid w:val="00B17368"/>
    <w:rsid w:val="00B237AC"/>
    <w:rsid w:val="00B25550"/>
    <w:rsid w:val="00B30DCD"/>
    <w:rsid w:val="00B377D3"/>
    <w:rsid w:val="00B4178F"/>
    <w:rsid w:val="00B4216E"/>
    <w:rsid w:val="00B448DC"/>
    <w:rsid w:val="00B463AC"/>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0216"/>
    <w:rsid w:val="00BD4B65"/>
    <w:rsid w:val="00BE280C"/>
    <w:rsid w:val="00BF054E"/>
    <w:rsid w:val="00BF0DB9"/>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7294E"/>
    <w:rsid w:val="00C7308F"/>
    <w:rsid w:val="00C91F90"/>
    <w:rsid w:val="00CA57DF"/>
    <w:rsid w:val="00CB0063"/>
    <w:rsid w:val="00CB4D37"/>
    <w:rsid w:val="00CB66F7"/>
    <w:rsid w:val="00CC0C62"/>
    <w:rsid w:val="00CC259C"/>
    <w:rsid w:val="00CC42D1"/>
    <w:rsid w:val="00CC5B3E"/>
    <w:rsid w:val="00CE1A87"/>
    <w:rsid w:val="00CF25EF"/>
    <w:rsid w:val="00D04A96"/>
    <w:rsid w:val="00D05B67"/>
    <w:rsid w:val="00D05D52"/>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4207"/>
    <w:rsid w:val="00E66C57"/>
    <w:rsid w:val="00E66D00"/>
    <w:rsid w:val="00E7224C"/>
    <w:rsid w:val="00E729F2"/>
    <w:rsid w:val="00E75DBD"/>
    <w:rsid w:val="00E805D3"/>
    <w:rsid w:val="00E80826"/>
    <w:rsid w:val="00E84DA1"/>
    <w:rsid w:val="00E91332"/>
    <w:rsid w:val="00EA3045"/>
    <w:rsid w:val="00EC1DE8"/>
    <w:rsid w:val="00EC35AE"/>
    <w:rsid w:val="00ED4708"/>
    <w:rsid w:val="00EE0D69"/>
    <w:rsid w:val="00EE0F26"/>
    <w:rsid w:val="00EE2ABB"/>
    <w:rsid w:val="00EF192B"/>
    <w:rsid w:val="00F06B8A"/>
    <w:rsid w:val="00F07A7D"/>
    <w:rsid w:val="00F11163"/>
    <w:rsid w:val="00F153C1"/>
    <w:rsid w:val="00F16839"/>
    <w:rsid w:val="00F211E7"/>
    <w:rsid w:val="00F21D37"/>
    <w:rsid w:val="00F221F0"/>
    <w:rsid w:val="00F26136"/>
    <w:rsid w:val="00F2713B"/>
    <w:rsid w:val="00F305D8"/>
    <w:rsid w:val="00F37106"/>
    <w:rsid w:val="00F44A2E"/>
    <w:rsid w:val="00F47D57"/>
    <w:rsid w:val="00F55DC4"/>
    <w:rsid w:val="00F576B3"/>
    <w:rsid w:val="00F741AF"/>
    <w:rsid w:val="00F745E1"/>
    <w:rsid w:val="00F75A79"/>
    <w:rsid w:val="00F7620E"/>
    <w:rsid w:val="00F775AD"/>
    <w:rsid w:val="00F77DB8"/>
    <w:rsid w:val="00F80E07"/>
    <w:rsid w:val="00F82C3E"/>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27DE"/>
    <w:rsid w:val="00FE2D84"/>
    <w:rsid w:val="00FF66CA"/>
    <w:rsid w:val="04980D5E"/>
    <w:rsid w:val="069140CF"/>
    <w:rsid w:val="0FD27DBD"/>
    <w:rsid w:val="0FF964FE"/>
    <w:rsid w:val="1E5A1D5B"/>
    <w:rsid w:val="2DE4FD4D"/>
    <w:rsid w:val="3ED61765"/>
    <w:rsid w:val="40CA8117"/>
    <w:rsid w:val="48630816"/>
    <w:rsid w:val="4F86CF62"/>
    <w:rsid w:val="557C19AA"/>
    <w:rsid w:val="5C93B5ED"/>
    <w:rsid w:val="620B8672"/>
    <w:rsid w:val="634DEC99"/>
    <w:rsid w:val="6C293B6F"/>
    <w:rsid w:val="701E51C2"/>
    <w:rsid w:val="781F3F63"/>
    <w:rsid w:val="791FDF27"/>
    <w:rsid w:val="7DB6A883"/>
    <w:rsid w:val="7E11F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21" w:customStyle="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styleId="Textoindependiente31" w:customStyle="1">
    <w:name w:val="Texto independiente 31"/>
    <w:basedOn w:val="Normal"/>
    <w:pPr>
      <w:widowControl w:val="0"/>
      <w:overflowPunct w:val="0"/>
      <w:autoSpaceDE w:val="0"/>
      <w:autoSpaceDN w:val="0"/>
      <w:adjustRightInd w:val="0"/>
      <w:jc w:val="both"/>
      <w:textAlignment w:val="baseline"/>
    </w:pPr>
    <w:rPr>
      <w:b/>
      <w:sz w:val="24"/>
      <w:lang w:val="es-CO"/>
    </w:rPr>
  </w:style>
  <w:style w:type="character" w:styleId="InitialStyle" w:customStyle="1">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hAnsi="Arial Unicode MS" w:eastAsia="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styleId="Listavistosa-nfasis11" w:customStyle="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styleId="Default" w:customStyle="1">
    <w:name w:val="Default"/>
    <w:rsid w:val="00DF1E66"/>
    <w:pPr>
      <w:autoSpaceDE w:val="0"/>
      <w:autoSpaceDN w:val="0"/>
      <w:adjustRightInd w:val="0"/>
    </w:pPr>
    <w:rPr>
      <w:rFonts w:ascii="Arial" w:hAnsi="Arial" w:cs="Arial"/>
      <w:color w:val="000000"/>
      <w:sz w:val="24"/>
      <w:szCs w:val="24"/>
    </w:rPr>
  </w:style>
  <w:style w:type="paragraph" w:styleId="Cuerpo" w:customStyle="1">
    <w:name w:val="Cuerpo"/>
    <w:rsid w:val="00DF1E66"/>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PiedepginaCar" w:customStyle="1">
    <w:name w:val="Pie de página Car"/>
    <w:link w:val="Piedepgina"/>
    <w:uiPriority w:val="99"/>
    <w:rsid w:val="00B4178F"/>
    <w:rPr>
      <w:rFonts w:ascii="Arial" w:hAnsi="Arial"/>
      <w:lang w:val="es-ES" w:eastAsia="es-ES"/>
    </w:rPr>
  </w:style>
  <w:style w:type="paragraph" w:styleId="xmsonormal" w:customStyle="1">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styleId="xmsolistparagraph" w:customStyle="1">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styleId="apple-converted-space" w:customStyle="1">
    <w:name w:val="apple-converted-space"/>
    <w:basedOn w:val="Fuentedeprrafopredeter"/>
    <w:rsid w:val="00715DD5"/>
  </w:style>
  <w:style w:type="paragraph" w:styleId="xcuerpo" w:customStyle="1">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hAnsi="Times" w:eastAsia="Times"/>
      <w:lang w:val="en-US"/>
    </w:rPr>
  </w:style>
  <w:style w:type="character" w:styleId="TextonotapieCar" w:customStyle="1">
    <w:name w:val="Texto nota pie Car"/>
    <w:link w:val="Textonotapie"/>
    <w:uiPriority w:val="99"/>
    <w:rsid w:val="00925058"/>
    <w:rPr>
      <w:rFonts w:ascii="Times" w:hAnsi="Times" w:eastAsia="Times"/>
      <w:lang w:val="en-US" w:eastAsia="es-ES"/>
    </w:rPr>
  </w:style>
  <w:style w:type="character" w:styleId="Refdenotaalpie">
    <w:name w:val="footnote reference"/>
    <w:uiPriority w:val="99"/>
    <w:rsid w:val="00925058"/>
    <w:rPr>
      <w:vertAlign w:val="superscript"/>
    </w:rPr>
  </w:style>
  <w:style w:type="paragraph" w:styleId="Cuadrculamedia21" w:customStyle="1">
    <w:name w:val="Cuadrícula media 21"/>
    <w:qFormat/>
    <w:rsid w:val="00236F62"/>
    <w:rPr>
      <w:rFonts w:ascii="Calibri" w:hAnsi="Calibri" w:eastAsia="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styleId="TtuloCar" w:customStyle="1">
    <w:name w:val="Título Car"/>
    <w:link w:val="Ttulo"/>
    <w:rsid w:val="00AE03F3"/>
    <w:rPr>
      <w:rFonts w:ascii="Arial" w:hAnsi="Arial" w:cs="Arial"/>
      <w:b/>
      <w:bCs/>
      <w:sz w:val="32"/>
      <w:szCs w:val="24"/>
      <w:lang w:val="es-ES" w:eastAsia="es-ES"/>
    </w:rPr>
  </w:style>
  <w:style w:type="character" w:styleId="Listavistosa-nfasis1Car" w:customStyle="1">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rsid w:val="003650D5"/>
  </w:style>
  <w:style w:type="character" w:styleId="normaltextrun" w:customStyle="1">
    <w:name w:val="normaltextrun"/>
    <w:basedOn w:val="Fuentedeprrafopredeter"/>
    <w:qFormat/>
    <w:rsid w:val="00632953"/>
  </w:style>
  <w:style w:type="character" w:styleId="tabchar" w:customStyle="1">
    <w:name w:val="tabchar"/>
    <w:basedOn w:val="Fuentedeprrafopredeter"/>
    <w:qFormat/>
    <w:rsid w:val="00632953"/>
  </w:style>
  <w:style w:type="paragraph" w:styleId="Prrafodelista">
    <w:name w:val="List Paragraph"/>
    <w:aliases w:val="HOJA,Bolita,Párrafo de lista4,BOLADEF,Párrafo de lista3,Párrafo de lista21,BOLA,Nivel 1 OS,Colorful List Accent 1,Colorful List - Accent 11,NORMAL,Elabora,titulo 3,Outline AEH,P?rrafo de lista,P?rrafo de lista4"/>
    <w:basedOn w:val="Normal"/>
    <w:link w:val="PrrafodelistaCar"/>
    <w:uiPriority w:val="99"/>
    <w:qFormat/>
    <w:rsid w:val="00AD21C1"/>
    <w:pPr>
      <w:ind w:left="720"/>
      <w:contextualSpacing/>
    </w:pPr>
  </w:style>
  <w:style w:type="character" w:styleId="PrrafodelistaCar" w:customStyle="1">
    <w:name w:val="Párrafo de lista Car"/>
    <w:aliases w:val="HOJA Car,Bolita Car,Párrafo de lista4 Car,BOLADEF Car,Párrafo de lista3 Car,Párrafo de lista21 Car,BOLA Car,Nivel 1 OS Car,Colorful List Accent 1 Car,Colorful List - Accent 11 Car,NORMAL Car,Elabora Car,titulo 3 Car,Outline AEH Car"/>
    <w:link w:val="Prrafodelista"/>
    <w:uiPriority w:val="99"/>
    <w:locked/>
    <w:rsid w:val="008448CA"/>
    <w:rPr>
      <w:rFonts w:ascii="Arial" w:hAnsi="Arial"/>
      <w:lang w:val="es-ES" w:eastAsia="es-ES"/>
    </w:rPr>
  </w:style>
  <w:style w:type="paragraph" w:styleId="Revisin">
    <w:name w:val="Revision"/>
    <w:hidden/>
    <w:uiPriority w:val="71"/>
    <w:rsid w:val="00F82C3E"/>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4.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dafp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oficina de sistemas</dc:creator>
  <keywords/>
  <dc:description/>
  <lastModifiedBy>Deisy Rocio Puentes Uribe</lastModifiedBy>
  <revision>6</revision>
  <lastPrinted>2019-07-08T22:30:00.0000000Z</lastPrinted>
  <dcterms:created xsi:type="dcterms:W3CDTF">2026-04-07T14:39:00.0000000Z</dcterms:created>
  <dcterms:modified xsi:type="dcterms:W3CDTF">2026-05-19T14:13:03.7906617Z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