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361AD" w14:textId="77777777" w:rsidR="001F260D" w:rsidRDefault="001F260D" w:rsidP="4BCC527C">
      <w:pPr>
        <w:jc w:val="both"/>
        <w:rPr>
          <w:rFonts w:ascii="Arial Narrow" w:eastAsia="Arial Narrow" w:hAnsi="Arial Narrow" w:cs="Arial Narrow"/>
          <w:sz w:val="22"/>
          <w:szCs w:val="22"/>
          <w:lang w:val="es-ES"/>
        </w:rPr>
      </w:pPr>
    </w:p>
    <w:p w14:paraId="0156ECFD" w14:textId="77777777" w:rsidR="00C46816" w:rsidRDefault="00C46816" w:rsidP="4BCC527C">
      <w:pPr>
        <w:pStyle w:val="NormalWeb"/>
        <w:spacing w:before="0" w:beforeAutospacing="0" w:after="0" w:afterAutospacing="0"/>
        <w:ind w:firstLine="708"/>
        <w:jc w:val="center"/>
        <w:rPr>
          <w:rFonts w:ascii="Arial Narrow" w:eastAsia="Arial Narrow" w:hAnsi="Arial Narrow" w:cs="Arial Narrow"/>
          <w:b/>
          <w:bCs/>
          <w:caps/>
          <w:sz w:val="22"/>
          <w:szCs w:val="22"/>
          <w:lang w:eastAsia="ko-KR"/>
        </w:rPr>
      </w:pPr>
    </w:p>
    <w:p w14:paraId="7ECE4FCB" w14:textId="77777777" w:rsidR="00916E2B" w:rsidRDefault="00DB4753" w:rsidP="4BCC527C">
      <w:pPr>
        <w:pStyle w:val="NormalWeb"/>
        <w:spacing w:before="0" w:beforeAutospacing="0" w:after="0" w:afterAutospacing="0"/>
        <w:ind w:firstLine="708"/>
        <w:jc w:val="center"/>
        <w:rPr>
          <w:rFonts w:ascii="Arial Narrow" w:eastAsia="Arial Narrow" w:hAnsi="Arial Narrow" w:cs="Arial Narrow"/>
          <w:b/>
          <w:bCs/>
          <w:caps/>
          <w:sz w:val="22"/>
          <w:szCs w:val="22"/>
          <w:lang w:eastAsia="ko-KR"/>
        </w:rPr>
      </w:pPr>
      <w:r w:rsidRPr="4BCC527C">
        <w:rPr>
          <w:rFonts w:ascii="Arial Narrow" w:eastAsia="Arial Narrow" w:hAnsi="Arial Narrow" w:cs="Arial Narrow"/>
          <w:b/>
          <w:bCs/>
          <w:caps/>
          <w:sz w:val="22"/>
          <w:szCs w:val="22"/>
          <w:lang w:eastAsia="ko-KR"/>
        </w:rPr>
        <w:t xml:space="preserve">Proyecto de RESOLUCIÓN </w:t>
      </w:r>
    </w:p>
    <w:p w14:paraId="4BD80D31" w14:textId="77777777" w:rsidR="00C46816" w:rsidRDefault="00C46816" w:rsidP="4BCC527C">
      <w:pPr>
        <w:pStyle w:val="NormalWeb"/>
        <w:spacing w:before="0" w:beforeAutospacing="0" w:after="0" w:afterAutospacing="0"/>
        <w:ind w:firstLine="708"/>
        <w:jc w:val="center"/>
        <w:rPr>
          <w:rFonts w:ascii="Arial Narrow" w:eastAsia="Arial Narrow" w:hAnsi="Arial Narrow" w:cs="Arial Narrow"/>
          <w:b/>
          <w:bCs/>
          <w:caps/>
          <w:sz w:val="22"/>
          <w:szCs w:val="22"/>
          <w:lang w:eastAsia="ko-KR"/>
        </w:rPr>
      </w:pPr>
    </w:p>
    <w:p w14:paraId="3A7EEC24" w14:textId="452D263B" w:rsidR="008E463A" w:rsidRDefault="00A76820" w:rsidP="4BCC527C">
      <w:pPr>
        <w:jc w:val="both"/>
        <w:rPr>
          <w:rFonts w:ascii="Arial Narrow" w:eastAsia="Arial Narrow" w:hAnsi="Arial Narrow" w:cs="Arial Narrow"/>
          <w:b/>
          <w:bCs/>
          <w:color w:val="000000"/>
          <w:sz w:val="22"/>
          <w:szCs w:val="22"/>
        </w:rPr>
      </w:pPr>
      <w:r w:rsidRPr="4BCC527C">
        <w:rPr>
          <w:rFonts w:ascii="Arial Narrow" w:eastAsia="Arial Narrow" w:hAnsi="Arial Narrow" w:cs="Arial Narrow"/>
          <w:b/>
          <w:bCs/>
          <w:caps/>
          <w:sz w:val="22"/>
          <w:szCs w:val="22"/>
          <w:lang w:val="es-ES" w:eastAsia="ko-KR"/>
        </w:rPr>
        <w:t>“Por la cual se</w:t>
      </w:r>
      <w:r w:rsidR="00BC02BF">
        <w:rPr>
          <w:rFonts w:ascii="Arial Narrow" w:eastAsia="Arial Narrow" w:hAnsi="Arial Narrow" w:cs="Arial Narrow"/>
          <w:b/>
          <w:bCs/>
          <w:caps/>
          <w:sz w:val="22"/>
          <w:szCs w:val="22"/>
          <w:lang w:val="es-ES" w:eastAsia="ko-KR"/>
        </w:rPr>
        <w:t xml:space="preserve"> MODIFICA </w:t>
      </w:r>
      <w:r w:rsidRPr="4BCC527C">
        <w:rPr>
          <w:rFonts w:ascii="Arial Narrow" w:eastAsia="Arial Narrow" w:hAnsi="Arial Narrow" w:cs="Arial Narrow"/>
          <w:b/>
          <w:bCs/>
          <w:caps/>
          <w:sz w:val="22"/>
          <w:szCs w:val="22"/>
          <w:lang w:val="es-ES" w:eastAsia="ko-KR"/>
        </w:rPr>
        <w:t xml:space="preserve">la Resolución MinTIC </w:t>
      </w:r>
      <w:proofErr w:type="spellStart"/>
      <w:r w:rsidRPr="4BCC527C">
        <w:rPr>
          <w:rFonts w:ascii="Arial Narrow" w:eastAsia="Arial Narrow" w:hAnsi="Arial Narrow" w:cs="Arial Narrow"/>
          <w:b/>
          <w:bCs/>
          <w:caps/>
          <w:sz w:val="22"/>
          <w:szCs w:val="22"/>
          <w:lang w:val="es-ES" w:eastAsia="ko-KR"/>
        </w:rPr>
        <w:t>N°</w:t>
      </w:r>
      <w:proofErr w:type="spellEnd"/>
      <w:r w:rsidRPr="4BCC527C">
        <w:rPr>
          <w:rFonts w:ascii="Arial Narrow" w:eastAsia="Arial Narrow" w:hAnsi="Arial Narrow" w:cs="Arial Narrow"/>
          <w:b/>
          <w:bCs/>
          <w:caps/>
          <w:sz w:val="22"/>
          <w:szCs w:val="22"/>
          <w:lang w:val="es-ES" w:eastAsia="ko-KR"/>
        </w:rPr>
        <w:t xml:space="preserve"> 3160 del 6 de diciembre de 2017”</w:t>
      </w:r>
    </w:p>
    <w:p w14:paraId="3235E4AA" w14:textId="77777777" w:rsidR="00C46816" w:rsidRDefault="00C46816" w:rsidP="4BCC527C">
      <w:pPr>
        <w:jc w:val="both"/>
        <w:rPr>
          <w:rFonts w:ascii="Arial Narrow" w:eastAsia="Arial Narrow" w:hAnsi="Arial Narrow" w:cs="Arial Narrow"/>
          <w:b/>
          <w:bCs/>
          <w:color w:val="000000"/>
          <w:sz w:val="22"/>
          <w:szCs w:val="22"/>
        </w:rPr>
      </w:pPr>
    </w:p>
    <w:p w14:paraId="58922174" w14:textId="296EA4B1" w:rsidR="00C46816" w:rsidRPr="001E42C9" w:rsidRDefault="00C46816" w:rsidP="4BCC527C">
      <w:pPr>
        <w:jc w:val="center"/>
        <w:rPr>
          <w:rFonts w:ascii="Arial Narrow" w:eastAsia="Arial Narrow" w:hAnsi="Arial Narrow" w:cs="Arial Narrow"/>
          <w:b/>
          <w:bCs/>
          <w:sz w:val="22"/>
          <w:szCs w:val="22"/>
        </w:rPr>
      </w:pPr>
      <w:r w:rsidRPr="4BCC527C">
        <w:rPr>
          <w:rFonts w:ascii="Arial Narrow" w:eastAsia="Arial Narrow" w:hAnsi="Arial Narrow" w:cs="Arial Narrow"/>
          <w:b/>
          <w:bCs/>
          <w:sz w:val="22"/>
          <w:szCs w:val="22"/>
        </w:rPr>
        <w:t xml:space="preserve">Bogotá D.C., </w:t>
      </w:r>
      <w:r w:rsidR="213DC5A0" w:rsidRPr="4BCC527C">
        <w:rPr>
          <w:rFonts w:ascii="Arial Narrow" w:eastAsia="Arial Narrow" w:hAnsi="Arial Narrow" w:cs="Arial Narrow"/>
          <w:b/>
          <w:bCs/>
          <w:sz w:val="22"/>
          <w:szCs w:val="22"/>
        </w:rPr>
        <w:t>julio</w:t>
      </w:r>
      <w:r w:rsidR="75D74198" w:rsidRPr="4BCC527C">
        <w:rPr>
          <w:rFonts w:ascii="Arial Narrow" w:eastAsia="Arial Narrow" w:hAnsi="Arial Narrow" w:cs="Arial Narrow"/>
          <w:b/>
          <w:bCs/>
          <w:sz w:val="22"/>
          <w:szCs w:val="22"/>
        </w:rPr>
        <w:t xml:space="preserve"> </w:t>
      </w:r>
      <w:r w:rsidRPr="4BCC527C">
        <w:rPr>
          <w:rFonts w:ascii="Arial Narrow" w:eastAsia="Arial Narrow" w:hAnsi="Arial Narrow" w:cs="Arial Narrow"/>
          <w:b/>
          <w:bCs/>
          <w:sz w:val="22"/>
          <w:szCs w:val="22"/>
        </w:rPr>
        <w:t>de (</w:t>
      </w:r>
      <w:r w:rsidR="00A76820" w:rsidRPr="4BCC527C">
        <w:rPr>
          <w:rFonts w:ascii="Arial Narrow" w:eastAsia="Arial Narrow" w:hAnsi="Arial Narrow" w:cs="Arial Narrow"/>
          <w:b/>
          <w:bCs/>
          <w:sz w:val="22"/>
          <w:szCs w:val="22"/>
        </w:rPr>
        <w:t>20</w:t>
      </w:r>
      <w:r w:rsidR="03BCEC59" w:rsidRPr="4BCC527C">
        <w:rPr>
          <w:rFonts w:ascii="Arial Narrow" w:eastAsia="Arial Narrow" w:hAnsi="Arial Narrow" w:cs="Arial Narrow"/>
          <w:b/>
          <w:bCs/>
          <w:sz w:val="22"/>
          <w:szCs w:val="22"/>
        </w:rPr>
        <w:t>20</w:t>
      </w:r>
      <w:r w:rsidRPr="4BCC527C">
        <w:rPr>
          <w:rFonts w:ascii="Arial Narrow" w:eastAsia="Arial Narrow" w:hAnsi="Arial Narrow" w:cs="Arial Narrow"/>
          <w:b/>
          <w:bCs/>
          <w:sz w:val="22"/>
          <w:szCs w:val="22"/>
        </w:rPr>
        <w:t>)</w:t>
      </w:r>
    </w:p>
    <w:p w14:paraId="791A34DB" w14:textId="77777777" w:rsidR="00C46816" w:rsidRPr="001E42C9" w:rsidRDefault="00C46816" w:rsidP="4BCC527C">
      <w:pPr>
        <w:jc w:val="center"/>
        <w:rPr>
          <w:rFonts w:ascii="Arial Narrow" w:eastAsia="Arial Narrow" w:hAnsi="Arial Narrow" w:cs="Arial Narrow"/>
          <w:b/>
          <w:bCs/>
          <w:sz w:val="22"/>
          <w:szCs w:val="22"/>
        </w:rPr>
      </w:pPr>
    </w:p>
    <w:p w14:paraId="00A0D90A" w14:textId="77777777" w:rsidR="00C46816" w:rsidRPr="001E42C9" w:rsidRDefault="00C46816" w:rsidP="4BCC527C">
      <w:pPr>
        <w:rPr>
          <w:rFonts w:ascii="Arial Narrow" w:eastAsia="Arial Narrow" w:hAnsi="Arial Narrow" w:cs="Arial Narrow"/>
          <w:b/>
          <w:bCs/>
          <w:sz w:val="22"/>
          <w:szCs w:val="22"/>
        </w:rPr>
      </w:pPr>
    </w:p>
    <w:p w14:paraId="35B3154C" w14:textId="77777777" w:rsidR="00C46816" w:rsidRPr="001E42C9" w:rsidRDefault="00C46816" w:rsidP="4BCC527C">
      <w:pPr>
        <w:jc w:val="both"/>
        <w:rPr>
          <w:rFonts w:ascii="Arial Narrow" w:eastAsia="Arial Narrow" w:hAnsi="Arial Narrow" w:cs="Arial Narrow"/>
          <w:b/>
          <w:bCs/>
          <w:sz w:val="22"/>
          <w:szCs w:val="22"/>
        </w:rPr>
      </w:pPr>
    </w:p>
    <w:p w14:paraId="3244D516" w14:textId="68083D2F" w:rsidR="00584CD6" w:rsidRPr="001E42C9" w:rsidRDefault="00584CD6" w:rsidP="4BCC527C">
      <w:pPr>
        <w:ind w:left="705" w:hanging="705"/>
        <w:rPr>
          <w:rFonts w:ascii="Arial Narrow" w:eastAsia="Arial Narrow" w:hAnsi="Arial Narrow" w:cs="Arial Narrow"/>
          <w:b/>
          <w:bCs/>
          <w:sz w:val="22"/>
          <w:szCs w:val="22"/>
          <w:lang w:val="es-ES"/>
        </w:rPr>
      </w:pPr>
      <w:r w:rsidRPr="4BCC527C">
        <w:rPr>
          <w:rFonts w:ascii="Arial Narrow" w:eastAsia="Arial Narrow" w:hAnsi="Arial Narrow" w:cs="Arial Narrow"/>
          <w:b/>
          <w:bCs/>
          <w:sz w:val="22"/>
          <w:szCs w:val="22"/>
          <w:lang w:val="es-ES"/>
        </w:rPr>
        <w:t>1.</w:t>
      </w:r>
      <w:r w:rsidR="409A95EB" w:rsidRPr="4BCC527C">
        <w:rPr>
          <w:rFonts w:ascii="Arial Narrow" w:eastAsia="Arial Narrow" w:hAnsi="Arial Narrow" w:cs="Arial Narrow"/>
          <w:b/>
          <w:bCs/>
          <w:sz w:val="22"/>
          <w:szCs w:val="22"/>
          <w:lang w:val="es-ES"/>
        </w:rPr>
        <w:t xml:space="preserve"> </w:t>
      </w:r>
      <w:r>
        <w:rPr>
          <w:rFonts w:ascii="Arial Narrow" w:hAnsi="Arial Narrow" w:cs="Arial"/>
          <w:b/>
          <w:sz w:val="22"/>
          <w:szCs w:val="22"/>
          <w:lang w:val="es-ES_tradnl"/>
        </w:rPr>
        <w:tab/>
      </w:r>
      <w:r w:rsidRPr="4BCC527C">
        <w:rPr>
          <w:rFonts w:ascii="Arial Narrow" w:eastAsia="Arial Narrow" w:hAnsi="Arial Narrow" w:cs="Arial Narrow"/>
          <w:b/>
          <w:bCs/>
          <w:sz w:val="22"/>
          <w:szCs w:val="22"/>
          <w:lang w:val="es-ES"/>
        </w:rPr>
        <w:t>Antecedentes y las razones de oportunidad y conveniencia que justifican la expedición de la norma</w:t>
      </w:r>
    </w:p>
    <w:p w14:paraId="15AF6F15" w14:textId="77777777" w:rsidR="00584CD6" w:rsidRDefault="00584CD6" w:rsidP="4BCC527C">
      <w:pPr>
        <w:jc w:val="both"/>
        <w:rPr>
          <w:rFonts w:ascii="Arial Narrow" w:eastAsia="Arial Narrow" w:hAnsi="Arial Narrow" w:cs="Arial Narrow"/>
          <w:sz w:val="22"/>
          <w:szCs w:val="22"/>
          <w:lang w:val="es-ES"/>
        </w:rPr>
      </w:pPr>
    </w:p>
    <w:p w14:paraId="27DD1871" w14:textId="2E02A977" w:rsidR="0000738B" w:rsidRDefault="00EA2D7B" w:rsidP="4BCC527C">
      <w:pPr>
        <w:jc w:val="both"/>
        <w:rPr>
          <w:rFonts w:ascii="Arial Narrow" w:eastAsia="Arial Narrow" w:hAnsi="Arial Narrow" w:cs="Arial Narrow"/>
          <w:sz w:val="22"/>
          <w:szCs w:val="22"/>
          <w:lang w:val="es-ES"/>
        </w:rPr>
      </w:pPr>
      <w:r w:rsidRPr="4BCC527C">
        <w:rPr>
          <w:rFonts w:ascii="Arial Narrow" w:eastAsia="Arial Narrow" w:hAnsi="Arial Narrow" w:cs="Arial Narrow"/>
          <w:sz w:val="22"/>
          <w:szCs w:val="22"/>
          <w:lang w:val="es-ES"/>
        </w:rPr>
        <w:t>El Ministerio de Tecnologías de la Información y las Comunicaciones expidió la Resolución 3160 de</w:t>
      </w:r>
      <w:r w:rsidR="001A5BB4" w:rsidRPr="4BCC527C">
        <w:rPr>
          <w:rFonts w:ascii="Arial Narrow" w:eastAsia="Arial Narrow" w:hAnsi="Arial Narrow" w:cs="Arial Narrow"/>
          <w:sz w:val="22"/>
          <w:szCs w:val="22"/>
          <w:lang w:val="es-ES"/>
        </w:rPr>
        <w:t>l 6 de diciembre de</w:t>
      </w:r>
      <w:r w:rsidRPr="4BCC527C">
        <w:rPr>
          <w:rFonts w:ascii="Arial Narrow" w:eastAsia="Arial Narrow" w:hAnsi="Arial Narrow" w:cs="Arial Narrow"/>
          <w:sz w:val="22"/>
          <w:szCs w:val="22"/>
          <w:lang w:val="es-ES"/>
        </w:rPr>
        <w:t xml:space="preserve"> 2017, </w:t>
      </w:r>
      <w:r w:rsidR="001A5BB4" w:rsidRPr="4BCC527C">
        <w:rPr>
          <w:rFonts w:ascii="Arial Narrow" w:eastAsia="Arial Narrow" w:hAnsi="Arial Narrow" w:cs="Arial Narrow"/>
          <w:sz w:val="22"/>
          <w:szCs w:val="22"/>
          <w:lang w:val="es-ES"/>
        </w:rPr>
        <w:t xml:space="preserve">por la cual se adoptó la Política Pública de Vigilancia Preventiva, con el fin de implementar un conjunto de acciones </w:t>
      </w:r>
      <w:r w:rsidR="0000738B" w:rsidRPr="4BCC527C">
        <w:rPr>
          <w:rFonts w:ascii="Arial Narrow" w:eastAsia="Arial Narrow" w:hAnsi="Arial Narrow" w:cs="Arial Narrow"/>
          <w:sz w:val="22"/>
          <w:szCs w:val="22"/>
          <w:lang w:val="es-ES"/>
        </w:rPr>
        <w:t>encaminada</w:t>
      </w:r>
      <w:r w:rsidR="000C0FAE" w:rsidRPr="4BCC527C">
        <w:rPr>
          <w:rFonts w:ascii="Arial Narrow" w:eastAsia="Arial Narrow" w:hAnsi="Arial Narrow" w:cs="Arial Narrow"/>
          <w:sz w:val="22"/>
          <w:szCs w:val="22"/>
          <w:lang w:val="es-ES"/>
        </w:rPr>
        <w:t>s</w:t>
      </w:r>
      <w:r w:rsidR="0000738B" w:rsidRPr="4BCC527C">
        <w:rPr>
          <w:rFonts w:ascii="Arial Narrow" w:eastAsia="Arial Narrow" w:hAnsi="Arial Narrow" w:cs="Arial Narrow"/>
          <w:sz w:val="22"/>
          <w:szCs w:val="22"/>
          <w:lang w:val="es-ES"/>
        </w:rPr>
        <w:t xml:space="preserve"> a contribuir al crecimiento y desarrollo del sector, al bienestar de los usuarios, a optimizar la prestación de los servicios y prevenir la ocurrencia de incumplimientos de las obligaciones legales, reglamentarias</w:t>
      </w:r>
      <w:r w:rsidR="003D7BD6" w:rsidRPr="4BCC527C">
        <w:rPr>
          <w:rFonts w:ascii="Arial Narrow" w:eastAsia="Arial Narrow" w:hAnsi="Arial Narrow" w:cs="Arial Narrow"/>
          <w:sz w:val="22"/>
          <w:szCs w:val="22"/>
          <w:lang w:val="es-ES"/>
        </w:rPr>
        <w:t xml:space="preserve"> o regulatorias, a través de la integración de los actores del sector, el fomento de la cultura de cumplimiento, la modernización, aplicación y divulgación de instrumentos de vigilancia y control.</w:t>
      </w:r>
    </w:p>
    <w:p w14:paraId="4C65C603" w14:textId="77777777" w:rsidR="0000738B" w:rsidRDefault="0000738B" w:rsidP="4BCC527C">
      <w:pPr>
        <w:jc w:val="both"/>
        <w:rPr>
          <w:rFonts w:ascii="Arial Narrow" w:eastAsia="Arial Narrow" w:hAnsi="Arial Narrow" w:cs="Arial Narrow"/>
          <w:sz w:val="22"/>
          <w:szCs w:val="22"/>
          <w:lang w:val="es-ES"/>
        </w:rPr>
      </w:pPr>
    </w:p>
    <w:p w14:paraId="27EA8BC6" w14:textId="6638F390" w:rsidR="00412DB2" w:rsidRDefault="003D7BD6" w:rsidP="4BCC527C">
      <w:pPr>
        <w:jc w:val="both"/>
        <w:rPr>
          <w:rFonts w:ascii="Arial Narrow" w:eastAsia="Arial Narrow" w:hAnsi="Arial Narrow" w:cs="Arial Narrow"/>
          <w:sz w:val="22"/>
          <w:szCs w:val="22"/>
          <w:highlight w:val="yellow"/>
          <w:lang w:val="es-ES"/>
        </w:rPr>
      </w:pPr>
      <w:r w:rsidRPr="4BCC527C">
        <w:rPr>
          <w:rFonts w:ascii="Arial Narrow" w:hAnsi="Arial Narrow" w:cs="Arial"/>
          <w:sz w:val="22"/>
          <w:szCs w:val="22"/>
          <w:lang w:val="es-ES"/>
        </w:rPr>
        <w:t xml:space="preserve">Dentro de las medidas adoptadas por la política se establecieron, entre otras, la posibilidad de suscribir acuerdos de mejora entre el Ministerio y los proveedores de redes y servicios de telecomunicaciones, concesionarios de los servicios de radiodifusión sonora, operadores de los servicios postales y demás sujetos de vigilancia y control por parte del Ministerio, </w:t>
      </w:r>
      <w:r w:rsidR="00B17D4B" w:rsidRPr="4BCC527C">
        <w:rPr>
          <w:rFonts w:ascii="Arial Narrow" w:hAnsi="Arial Narrow" w:cs="Arial"/>
          <w:sz w:val="22"/>
          <w:szCs w:val="22"/>
          <w:lang w:val="es-ES"/>
        </w:rPr>
        <w:t xml:space="preserve">con el objeto de superar las dificultades identificadas frente al cumplimiento de las obligaciones a las que se encuentran sujetos los vigilados y sin </w:t>
      </w:r>
      <w:r w:rsidR="00815637" w:rsidRPr="4BCC527C">
        <w:rPr>
          <w:rFonts w:ascii="Arial Narrow" w:hAnsi="Arial Narrow" w:cs="Arial"/>
          <w:sz w:val="22"/>
          <w:szCs w:val="22"/>
          <w:lang w:val="es-ES"/>
        </w:rPr>
        <w:t xml:space="preserve">que </w:t>
      </w:r>
      <w:r w:rsidR="00B17D4B" w:rsidRPr="4BCC527C">
        <w:rPr>
          <w:rFonts w:ascii="Arial Narrow" w:hAnsi="Arial Narrow" w:cs="Arial"/>
          <w:sz w:val="22"/>
          <w:szCs w:val="22"/>
          <w:lang w:val="es-ES"/>
        </w:rPr>
        <w:t xml:space="preserve">necesariamente se </w:t>
      </w:r>
      <w:r w:rsidR="00815637" w:rsidRPr="4BCC527C">
        <w:rPr>
          <w:rFonts w:ascii="Arial Narrow" w:hAnsi="Arial Narrow" w:cs="Arial"/>
          <w:sz w:val="22"/>
          <w:szCs w:val="22"/>
          <w:lang w:val="es-ES"/>
        </w:rPr>
        <w:t xml:space="preserve">debiera </w:t>
      </w:r>
      <w:r w:rsidR="00B17D4B" w:rsidRPr="4BCC527C">
        <w:rPr>
          <w:rFonts w:ascii="Arial Narrow" w:hAnsi="Arial Narrow" w:cs="Arial"/>
          <w:sz w:val="22"/>
          <w:szCs w:val="22"/>
          <w:lang w:val="es-ES"/>
        </w:rPr>
        <w:t xml:space="preserve">acudir a la imposición de sanciones. Así mismo, también contempló un reconocimiento diferencial a los prestadores que </w:t>
      </w:r>
      <w:r w:rsidR="00815637" w:rsidRPr="4BCC527C">
        <w:rPr>
          <w:rFonts w:ascii="Arial Narrow" w:hAnsi="Arial Narrow" w:cs="Arial"/>
          <w:sz w:val="22"/>
          <w:szCs w:val="22"/>
          <w:lang w:val="es-ES"/>
        </w:rPr>
        <w:t xml:space="preserve">tuvieran </w:t>
      </w:r>
      <w:r w:rsidR="00B17D4B" w:rsidRPr="4BCC527C">
        <w:rPr>
          <w:rFonts w:ascii="Arial Narrow" w:hAnsi="Arial Narrow" w:cs="Arial"/>
          <w:sz w:val="22"/>
          <w:szCs w:val="22"/>
          <w:lang w:val="es-ES"/>
        </w:rPr>
        <w:t>una cultura del cumplimiento, que se vería reflejado periódicamente en publicaciones en la página web del Ministerio.</w:t>
      </w:r>
    </w:p>
    <w:p w14:paraId="662822A5" w14:textId="6638F390" w:rsidR="559F86BC" w:rsidRDefault="559F86BC" w:rsidP="4BCC527C">
      <w:pPr>
        <w:jc w:val="both"/>
        <w:rPr>
          <w:rFonts w:ascii="Arial Narrow" w:eastAsia="Arial Narrow" w:hAnsi="Arial Narrow" w:cs="Arial Narrow"/>
          <w:sz w:val="22"/>
          <w:szCs w:val="22"/>
          <w:highlight w:val="yellow"/>
          <w:lang w:val="es-ES"/>
        </w:rPr>
      </w:pPr>
    </w:p>
    <w:p w14:paraId="357DA431" w14:textId="04BA3AE5" w:rsidR="0C34FEAC" w:rsidRDefault="30197893" w:rsidP="4BCC527C">
      <w:pPr>
        <w:spacing w:line="257" w:lineRule="auto"/>
        <w:jc w:val="both"/>
        <w:rPr>
          <w:rFonts w:ascii="Arial Narrow" w:eastAsia="Arial Narrow" w:hAnsi="Arial Narrow" w:cs="Arial Narrow"/>
          <w:sz w:val="22"/>
          <w:szCs w:val="22"/>
          <w:lang w:val="es-MX"/>
        </w:rPr>
      </w:pPr>
      <w:r w:rsidRPr="4BCC527C">
        <w:rPr>
          <w:rFonts w:ascii="Arial Narrow" w:eastAsia="Arial Narrow" w:hAnsi="Arial Narrow" w:cs="Arial Narrow"/>
          <w:sz w:val="22"/>
          <w:szCs w:val="22"/>
          <w:lang w:val="es-ES"/>
        </w:rPr>
        <w:t>Adicionalmente</w:t>
      </w:r>
      <w:r w:rsidR="0C34FEAC" w:rsidRPr="4BCC527C">
        <w:rPr>
          <w:rFonts w:ascii="Arial Narrow" w:eastAsia="Arial Narrow" w:hAnsi="Arial Narrow" w:cs="Arial Narrow"/>
          <w:sz w:val="22"/>
          <w:szCs w:val="22"/>
          <w:lang w:val="es-ES"/>
        </w:rPr>
        <w:t xml:space="preserve">, la Resolución 3160 de 2017 dejó plasmado en su texto que las facultades de control son discrecionales para el MinTIC, por lo que se puede agotar </w:t>
      </w:r>
      <w:r w:rsidR="7ADB6B99" w:rsidRPr="4BCC527C">
        <w:rPr>
          <w:rFonts w:ascii="Arial Narrow" w:eastAsia="Arial Narrow" w:hAnsi="Arial Narrow" w:cs="Arial Narrow"/>
          <w:sz w:val="22"/>
          <w:szCs w:val="22"/>
          <w:lang w:val="es-ES"/>
        </w:rPr>
        <w:t>toda</w:t>
      </w:r>
      <w:r w:rsidR="0C34FEAC" w:rsidRPr="4BCC527C">
        <w:rPr>
          <w:rFonts w:ascii="Arial Narrow" w:eastAsia="Arial Narrow" w:hAnsi="Arial Narrow" w:cs="Arial Narrow"/>
          <w:sz w:val="22"/>
          <w:szCs w:val="22"/>
          <w:lang w:val="es-ES"/>
        </w:rPr>
        <w:t xml:space="preserve"> alternativa de prevención y persuasión, destinada al cumplimiento de la norma. De este modo, con</w:t>
      </w:r>
      <w:r w:rsidR="0C34FEAC" w:rsidRPr="4BCC527C">
        <w:rPr>
          <w:rFonts w:ascii="Arial Narrow" w:eastAsia="Arial Narrow" w:hAnsi="Arial Narrow" w:cs="Arial Narrow"/>
          <w:sz w:val="22"/>
          <w:szCs w:val="22"/>
          <w:lang w:val="es-MX"/>
        </w:rPr>
        <w:t xml:space="preserve"> un muy loable propósito, se adoptó una política de prevención buscando mejoras de los operadores y dejando el ejercicio de la potestad sancionatoria del MinTIC como una última opción, sin embargo, no se reparó en que varias de las medidas y procedimientos adoptados no se ajustaban en forma plena a la ley y a la jurisprudencia, dejando a discreción el ejercicio de facultades irrenunciables y regladas.</w:t>
      </w:r>
    </w:p>
    <w:p w14:paraId="0EEA924F" w14:textId="6638F390" w:rsidR="0C34FEAC" w:rsidRDefault="0C34FEAC" w:rsidP="4BCC527C">
      <w:pPr>
        <w:spacing w:line="257" w:lineRule="auto"/>
        <w:jc w:val="both"/>
        <w:rPr>
          <w:rFonts w:ascii="Arial Narrow" w:eastAsia="Arial Narrow" w:hAnsi="Arial Narrow" w:cs="Arial Narrow"/>
          <w:sz w:val="22"/>
          <w:szCs w:val="22"/>
          <w:lang w:val="es-MX"/>
        </w:rPr>
      </w:pPr>
      <w:r w:rsidRPr="4BCC527C">
        <w:rPr>
          <w:rFonts w:ascii="Arial Narrow" w:eastAsia="Arial Narrow" w:hAnsi="Arial Narrow" w:cs="Arial Narrow"/>
          <w:sz w:val="22"/>
          <w:szCs w:val="22"/>
          <w:lang w:val="es-MX"/>
        </w:rPr>
        <w:t xml:space="preserve"> </w:t>
      </w:r>
    </w:p>
    <w:p w14:paraId="2B324B63" w14:textId="23A1B865" w:rsidR="007E3076" w:rsidRDefault="0C34FEAC" w:rsidP="4BCC527C">
      <w:pPr>
        <w:spacing w:line="257" w:lineRule="auto"/>
        <w:jc w:val="both"/>
        <w:rPr>
          <w:rFonts w:ascii="Arial Narrow" w:eastAsia="Arial Narrow" w:hAnsi="Arial Narrow" w:cs="Arial Narrow"/>
          <w:sz w:val="22"/>
          <w:szCs w:val="22"/>
          <w:lang w:val="es-ES"/>
        </w:rPr>
      </w:pPr>
      <w:r w:rsidRPr="4BCC527C">
        <w:rPr>
          <w:rFonts w:ascii="Arial Narrow" w:eastAsia="Arial Narrow" w:hAnsi="Arial Narrow" w:cs="Arial Narrow"/>
          <w:sz w:val="22"/>
          <w:szCs w:val="22"/>
          <w:lang w:val="es-MX"/>
        </w:rPr>
        <w:t xml:space="preserve">Por lo anterior, se propone </w:t>
      </w:r>
      <w:r w:rsidRPr="4BCC527C">
        <w:rPr>
          <w:rFonts w:ascii="Arial Narrow" w:eastAsia="Arial Narrow" w:hAnsi="Arial Narrow" w:cs="Arial Narrow"/>
          <w:sz w:val="22"/>
          <w:szCs w:val="22"/>
          <w:lang w:val="es"/>
        </w:rPr>
        <w:t xml:space="preserve">la modificación de la Resolución 3160 de 2017 con la finalidad de </w:t>
      </w:r>
      <w:r w:rsidRPr="4BCC527C">
        <w:rPr>
          <w:rFonts w:ascii="Arial Narrow" w:eastAsia="Arial Narrow" w:hAnsi="Arial Narrow" w:cs="Arial Narrow"/>
          <w:sz w:val="22"/>
          <w:szCs w:val="22"/>
          <w:lang w:val="es-ES"/>
        </w:rPr>
        <w:t>adecuar los alcances de las acciones implementadas</w:t>
      </w:r>
      <w:r w:rsidRPr="4BCC527C">
        <w:rPr>
          <w:rFonts w:ascii="Arial Narrow" w:eastAsia="Arial Narrow" w:hAnsi="Arial Narrow" w:cs="Arial Narrow"/>
          <w:sz w:val="22"/>
          <w:szCs w:val="22"/>
          <w:lang w:val="es"/>
        </w:rPr>
        <w:t xml:space="preserve"> y promover las medidas adoptadas por los vigilados destinadas a generar acciones preventivas y correctivas respecto de sus obligaciones legales, regulatorias, reglamentarias, sin que ello signifique abstenerse de imponer una sanción administrativa, lo que como ya se dijo, desdibuja y trastoca el ejercicio de la potestad sancionatoria de la Administración que </w:t>
      </w:r>
      <w:r w:rsidRPr="4BCC527C">
        <w:rPr>
          <w:rFonts w:ascii="Arial Narrow" w:eastAsia="Arial Narrow" w:hAnsi="Arial Narrow" w:cs="Arial Narrow"/>
          <w:sz w:val="22"/>
          <w:szCs w:val="22"/>
          <w:lang w:val="es-ES"/>
        </w:rPr>
        <w:t>tiene carácter obligatorio, irrenunciable e inalienable.</w:t>
      </w:r>
      <w:r w:rsidR="6272D691" w:rsidRPr="4BCC527C">
        <w:rPr>
          <w:rFonts w:ascii="Arial Narrow" w:eastAsia="Arial Narrow" w:hAnsi="Arial Narrow" w:cs="Arial Narrow"/>
          <w:sz w:val="22"/>
          <w:szCs w:val="22"/>
          <w:lang w:val="es-ES"/>
        </w:rPr>
        <w:t xml:space="preserve"> En este sentido, vale la pena reiterar que </w:t>
      </w:r>
      <w:r w:rsidR="009F4BD9" w:rsidRPr="4BCC527C">
        <w:rPr>
          <w:rFonts w:ascii="Arial Narrow" w:eastAsia="Arial Narrow" w:hAnsi="Arial Narrow" w:cs="Arial Narrow"/>
          <w:sz w:val="22"/>
          <w:szCs w:val="22"/>
          <w:lang w:val="es-ES"/>
        </w:rPr>
        <w:t xml:space="preserve">se debe reafirmar la potestad sancionadora con que cuenta el Ministerio de Tecnologías de la Información y las Comunicaciones que permite asegurar la </w:t>
      </w:r>
      <w:r w:rsidR="009F4BD9" w:rsidRPr="4BCC527C">
        <w:rPr>
          <w:rFonts w:ascii="Arial Narrow" w:eastAsia="Arial Narrow" w:hAnsi="Arial Narrow" w:cs="Arial Narrow"/>
          <w:sz w:val="22"/>
          <w:szCs w:val="22"/>
          <w:lang w:val="es-ES"/>
        </w:rPr>
        <w:lastRenderedPageBreak/>
        <w:t>realización de los fines del Estado, así como el cumplimiento de los objetivos trazados por la misma entidad y se concibe como un poder de actuación que, al ser ejercido de conformidad con el ordenamiento jurídico vigente, produce situaciones jurídicas en las que otros sujetos quedan obligados. Tal potestad se confiere con carácter inalienable, irrenunciable, obligatoria y con reserva de ley y no se limita a la imposición de sanciones</w:t>
      </w:r>
      <w:r w:rsidR="007A2F5C" w:rsidRPr="4BCC527C">
        <w:rPr>
          <w:rFonts w:ascii="Arial Narrow" w:eastAsia="Arial Narrow" w:hAnsi="Arial Narrow" w:cs="Arial Narrow"/>
          <w:sz w:val="22"/>
          <w:szCs w:val="22"/>
          <w:lang w:val="es-ES"/>
        </w:rPr>
        <w:t>-.</w:t>
      </w:r>
    </w:p>
    <w:p w14:paraId="758FF95D" w14:textId="681E26A0" w:rsidR="00B74B50" w:rsidRDefault="00B74B50" w:rsidP="4BCC527C">
      <w:pPr>
        <w:spacing w:line="257" w:lineRule="auto"/>
        <w:jc w:val="both"/>
        <w:rPr>
          <w:rFonts w:ascii="Arial Narrow" w:eastAsia="Arial Narrow" w:hAnsi="Arial Narrow" w:cs="Arial Narrow"/>
          <w:sz w:val="22"/>
          <w:szCs w:val="22"/>
          <w:lang w:val="es-ES"/>
        </w:rPr>
      </w:pPr>
    </w:p>
    <w:p w14:paraId="176D1912" w14:textId="3281ECCF" w:rsidR="00B74B50" w:rsidRDefault="359079A5" w:rsidP="4BCC527C">
      <w:pPr>
        <w:spacing w:line="257" w:lineRule="auto"/>
        <w:jc w:val="both"/>
        <w:rPr>
          <w:rFonts w:ascii="Arial Narrow" w:eastAsia="Arial Narrow" w:hAnsi="Arial Narrow" w:cs="Arial Narrow"/>
          <w:sz w:val="22"/>
          <w:szCs w:val="22"/>
          <w:lang w:val="es-ES"/>
        </w:rPr>
      </w:pPr>
      <w:r w:rsidRPr="4BCC527C">
        <w:rPr>
          <w:rFonts w:ascii="Arial Narrow" w:eastAsia="Arial Narrow" w:hAnsi="Arial Narrow" w:cs="Arial Narrow"/>
          <w:sz w:val="22"/>
          <w:szCs w:val="22"/>
          <w:lang w:val="es-ES"/>
        </w:rPr>
        <w:t>Para el efecto, se propone eliminar el enfoque actual y el concepto de los acuerdos de mejora, para incorporar en su lugar un esquema de autoevaluación y compromisos, que no releva ni excluye la aplicación obligatoria, irrenunciable e inalienable de la potestad sancionatoria, cuando ello sea necesario, pero que le da la posibilidad a los vigilados de implementar acciones y medidas adoptadas destinadas a generar acciones preventivas y correctivas respecto de sus obligaciones legales, regulatorias, reglamentarias.</w:t>
      </w:r>
    </w:p>
    <w:p w14:paraId="744BBD3B" w14:textId="49243C19" w:rsidR="00B74B50" w:rsidRDefault="00B74B50" w:rsidP="4BCC527C">
      <w:pPr>
        <w:spacing w:line="257" w:lineRule="auto"/>
        <w:jc w:val="both"/>
        <w:rPr>
          <w:rFonts w:ascii="Arial Narrow" w:eastAsia="Arial Narrow" w:hAnsi="Arial Narrow" w:cs="Arial Narrow"/>
          <w:sz w:val="22"/>
          <w:szCs w:val="22"/>
          <w:lang w:val="es-ES"/>
        </w:rPr>
      </w:pPr>
    </w:p>
    <w:p w14:paraId="69E7DB3A" w14:textId="439262B9" w:rsidR="00B74B50" w:rsidRDefault="5D9DE817" w:rsidP="4BCC527C">
      <w:pPr>
        <w:spacing w:line="257" w:lineRule="auto"/>
        <w:jc w:val="both"/>
        <w:rPr>
          <w:rFonts w:ascii="Arial Narrow" w:eastAsia="Arial Narrow" w:hAnsi="Arial Narrow" w:cs="Arial Narrow"/>
          <w:sz w:val="22"/>
          <w:szCs w:val="22"/>
          <w:lang w:val="es-ES"/>
        </w:rPr>
      </w:pPr>
      <w:r w:rsidRPr="4BCC527C">
        <w:rPr>
          <w:rFonts w:ascii="Arial Narrow" w:eastAsia="Arial Narrow" w:hAnsi="Arial Narrow" w:cs="Arial Narrow"/>
          <w:sz w:val="22"/>
          <w:szCs w:val="22"/>
          <w:lang w:val="es-ES"/>
        </w:rPr>
        <w:t>Del mismo modo, se propone eliminar el reconocimiento diferencial a los vigilados que tengan una cultura del cumplimiento, que según la Resolución 3160 de 2017 debía verse reflejado periódicamente en publicaciones en la página web del Ministerio, pues el cumplimiento estricto – y valga decir exclusivo – de las obligaciones legales, reglamentarias y regulatorias no puede ser objeto de reconocimiento, porque la observancia del ordenamiento jurídico, en el marco de la prestación del servicio, es deber básico de los vigilados y no un motivo de reconocimiento</w:t>
      </w:r>
      <w:r w:rsidR="53DC2238" w:rsidRPr="4BCC527C">
        <w:rPr>
          <w:rFonts w:ascii="Arial Narrow" w:eastAsia="Arial Narrow" w:hAnsi="Arial Narrow" w:cs="Arial Narrow"/>
          <w:sz w:val="22"/>
          <w:szCs w:val="22"/>
          <w:lang w:val="es-ES"/>
        </w:rPr>
        <w:t>.</w:t>
      </w:r>
    </w:p>
    <w:p w14:paraId="0CBE790B" w14:textId="3DFA1062" w:rsidR="00B74B50" w:rsidRDefault="00B74B50" w:rsidP="4BCC527C">
      <w:pPr>
        <w:jc w:val="both"/>
        <w:rPr>
          <w:rFonts w:ascii="Arial Narrow" w:eastAsia="Arial Narrow" w:hAnsi="Arial Narrow" w:cs="Arial Narrow"/>
          <w:sz w:val="22"/>
          <w:szCs w:val="22"/>
          <w:lang w:val="es-ES"/>
        </w:rPr>
      </w:pPr>
    </w:p>
    <w:p w14:paraId="54D468ED" w14:textId="2AB0BED8" w:rsidR="00584CD6" w:rsidRPr="001E42C9" w:rsidRDefault="53DC2238" w:rsidP="4BCC527C">
      <w:pPr>
        <w:jc w:val="both"/>
        <w:rPr>
          <w:rFonts w:ascii="Arial Narrow" w:eastAsia="Arial Narrow" w:hAnsi="Arial Narrow" w:cs="Arial Narrow"/>
          <w:sz w:val="22"/>
          <w:szCs w:val="22"/>
          <w:lang w:val="es-ES"/>
        </w:rPr>
      </w:pPr>
      <w:r w:rsidRPr="4BCC527C">
        <w:rPr>
          <w:rFonts w:ascii="Arial Narrow" w:eastAsia="Arial Narrow" w:hAnsi="Arial Narrow" w:cs="Arial Narrow"/>
          <w:sz w:val="22"/>
          <w:szCs w:val="22"/>
          <w:lang w:val="es-ES"/>
        </w:rPr>
        <w:t xml:space="preserve">Además, </w:t>
      </w:r>
      <w:r w:rsidR="00B74B50" w:rsidRPr="4BCC527C">
        <w:rPr>
          <w:rFonts w:ascii="Arial Narrow" w:eastAsia="Arial Narrow" w:hAnsi="Arial Narrow" w:cs="Arial Narrow"/>
          <w:sz w:val="22"/>
          <w:szCs w:val="22"/>
          <w:lang w:val="es-ES"/>
        </w:rPr>
        <w:t>se impulsaron por parte del Gobierno Nacional</w:t>
      </w:r>
      <w:r w:rsidR="0006278E" w:rsidRPr="4BCC527C">
        <w:rPr>
          <w:rFonts w:ascii="Arial Narrow" w:eastAsia="Arial Narrow" w:hAnsi="Arial Narrow" w:cs="Arial Narrow"/>
          <w:sz w:val="22"/>
          <w:szCs w:val="22"/>
          <w:lang w:val="es-ES"/>
        </w:rPr>
        <w:t xml:space="preserve"> las Leyes 1955 y 1978 de 2019, que modificaron el procedimiento administrativo sancionatorio que rige las actuaciones de vigilancia y control del MinTIC</w:t>
      </w:r>
      <w:r w:rsidR="4CC045E5" w:rsidRPr="4BCC527C">
        <w:rPr>
          <w:rFonts w:ascii="Arial Narrow" w:eastAsia="Arial Narrow" w:hAnsi="Arial Narrow" w:cs="Arial Narrow"/>
          <w:sz w:val="22"/>
          <w:szCs w:val="22"/>
          <w:lang w:val="es-ES"/>
        </w:rPr>
        <w:t xml:space="preserve"> e incorporaron atenuantes sancionatorios que fomentan el cumplimiento normativo al  reconocer las medidas tomadas por los prestadores y operadores que logren acreditar en el curso de las actuaciones administrativas sancionatorias destinadas -en principio- a producir el cese de los actos u omisiones que dieron lugar al inicio de dichas actuacione</w:t>
      </w:r>
      <w:r w:rsidR="5699A902" w:rsidRPr="4BCC527C">
        <w:rPr>
          <w:rFonts w:ascii="Arial Narrow" w:eastAsia="Arial Narrow" w:hAnsi="Arial Narrow" w:cs="Arial Narrow"/>
          <w:sz w:val="22"/>
          <w:szCs w:val="22"/>
          <w:lang w:val="es-ES"/>
        </w:rPr>
        <w:t xml:space="preserve">s. Por lo </w:t>
      </w:r>
      <w:r w:rsidR="1E5FE884" w:rsidRPr="4BCC527C">
        <w:rPr>
          <w:rFonts w:ascii="Arial Narrow" w:eastAsia="Arial Narrow" w:hAnsi="Arial Narrow" w:cs="Arial Narrow"/>
          <w:sz w:val="22"/>
          <w:szCs w:val="22"/>
          <w:lang w:val="es-ES"/>
        </w:rPr>
        <w:t>expuesto</w:t>
      </w:r>
      <w:r w:rsidR="5699A902" w:rsidRPr="4BCC527C">
        <w:rPr>
          <w:rFonts w:ascii="Arial Narrow" w:eastAsia="Arial Narrow" w:hAnsi="Arial Narrow" w:cs="Arial Narrow"/>
          <w:sz w:val="22"/>
          <w:szCs w:val="22"/>
          <w:lang w:val="es-ES"/>
        </w:rPr>
        <w:t xml:space="preserve">, se hace necesario modificar la Resolución </w:t>
      </w:r>
      <w:proofErr w:type="spellStart"/>
      <w:r w:rsidR="5699A902" w:rsidRPr="4BCC527C">
        <w:rPr>
          <w:rFonts w:ascii="Arial Narrow" w:eastAsia="Arial Narrow" w:hAnsi="Arial Narrow" w:cs="Arial Narrow"/>
          <w:sz w:val="22"/>
          <w:szCs w:val="22"/>
          <w:lang w:val="es-ES"/>
        </w:rPr>
        <w:t>N°</w:t>
      </w:r>
      <w:proofErr w:type="spellEnd"/>
      <w:r w:rsidR="5699A902" w:rsidRPr="4BCC527C">
        <w:rPr>
          <w:rFonts w:ascii="Arial Narrow" w:eastAsia="Arial Narrow" w:hAnsi="Arial Narrow" w:cs="Arial Narrow"/>
          <w:sz w:val="22"/>
          <w:szCs w:val="22"/>
          <w:lang w:val="es-ES"/>
        </w:rPr>
        <w:t xml:space="preserve"> 3160 de 2017, con el fin de articularla con las reformas anteriormente mencionadas</w:t>
      </w:r>
      <w:r w:rsidR="73EC1C70" w:rsidRPr="4BCC527C">
        <w:rPr>
          <w:rFonts w:ascii="Arial Narrow" w:eastAsia="Arial Narrow" w:hAnsi="Arial Narrow" w:cs="Arial Narrow"/>
          <w:sz w:val="22"/>
          <w:szCs w:val="22"/>
          <w:lang w:val="es-ES"/>
        </w:rPr>
        <w:t xml:space="preserve">, para que realmente existan medidas que tengan un componente preventivo, que estén claramente </w:t>
      </w:r>
      <w:proofErr w:type="spellStart"/>
      <w:r w:rsidR="73EC1C70" w:rsidRPr="4BCC527C">
        <w:rPr>
          <w:rFonts w:ascii="Arial Narrow" w:eastAsia="Arial Narrow" w:hAnsi="Arial Narrow" w:cs="Arial Narrow"/>
          <w:sz w:val="22"/>
          <w:szCs w:val="22"/>
          <w:lang w:val="es-ES"/>
        </w:rPr>
        <w:t>definidias</w:t>
      </w:r>
      <w:proofErr w:type="spellEnd"/>
      <w:r w:rsidR="73EC1C70" w:rsidRPr="4BCC527C">
        <w:rPr>
          <w:rFonts w:ascii="Arial Narrow" w:eastAsia="Arial Narrow" w:hAnsi="Arial Narrow" w:cs="Arial Narrow"/>
          <w:sz w:val="22"/>
          <w:szCs w:val="22"/>
          <w:lang w:val="es-ES"/>
        </w:rPr>
        <w:t xml:space="preserve"> y otras de carácter correctivo, que de concretarse, se</w:t>
      </w:r>
      <w:r w:rsidR="6B209585" w:rsidRPr="4BCC527C">
        <w:rPr>
          <w:rFonts w:ascii="Arial Narrow" w:eastAsia="Arial Narrow" w:hAnsi="Arial Narrow" w:cs="Arial Narrow"/>
          <w:sz w:val="22"/>
          <w:szCs w:val="22"/>
          <w:lang w:val="es-ES"/>
        </w:rPr>
        <w:t>an</w:t>
      </w:r>
      <w:r w:rsidR="73EC1C70" w:rsidRPr="4BCC527C">
        <w:rPr>
          <w:rFonts w:ascii="Arial Narrow" w:eastAsia="Arial Narrow" w:hAnsi="Arial Narrow" w:cs="Arial Narrow"/>
          <w:sz w:val="22"/>
          <w:szCs w:val="22"/>
          <w:lang w:val="es-ES"/>
        </w:rPr>
        <w:t xml:space="preserve"> sujetas de la aplicación de los atenuantes previstos en las leyes reseñadas.</w:t>
      </w:r>
    </w:p>
    <w:p w14:paraId="6B28BC51" w14:textId="573F8DAA" w:rsidR="00584CD6" w:rsidRPr="001E42C9" w:rsidRDefault="00584CD6" w:rsidP="4BCC527C">
      <w:pPr>
        <w:jc w:val="both"/>
        <w:rPr>
          <w:rFonts w:ascii="Arial Narrow" w:eastAsia="Arial Narrow" w:hAnsi="Arial Narrow" w:cs="Arial Narrow"/>
          <w:sz w:val="22"/>
          <w:szCs w:val="22"/>
          <w:lang w:val="es-ES"/>
        </w:rPr>
      </w:pPr>
    </w:p>
    <w:p w14:paraId="6B055B00" w14:textId="49DC15EA" w:rsidR="00584CD6" w:rsidRPr="001E42C9" w:rsidRDefault="00584CD6" w:rsidP="4BCC527C">
      <w:pPr>
        <w:jc w:val="both"/>
        <w:rPr>
          <w:rFonts w:ascii="Arial Narrow" w:eastAsia="Arial Narrow" w:hAnsi="Arial Narrow" w:cs="Arial Narrow"/>
          <w:b/>
          <w:bCs/>
          <w:sz w:val="22"/>
          <w:szCs w:val="22"/>
          <w:lang w:val="es-ES"/>
        </w:rPr>
      </w:pPr>
      <w:r w:rsidRPr="4BCC527C">
        <w:rPr>
          <w:rFonts w:ascii="Arial Narrow" w:eastAsia="Arial Narrow" w:hAnsi="Arial Narrow" w:cs="Arial Narrow"/>
          <w:b/>
          <w:bCs/>
          <w:sz w:val="22"/>
          <w:szCs w:val="22"/>
          <w:lang w:val="es-ES"/>
        </w:rPr>
        <w:t>2.</w:t>
      </w:r>
      <w:r w:rsidR="6BF8DA1E" w:rsidRPr="4BCC527C">
        <w:rPr>
          <w:rFonts w:ascii="Arial Narrow" w:eastAsia="Arial Narrow" w:hAnsi="Arial Narrow" w:cs="Arial Narrow"/>
          <w:b/>
          <w:bCs/>
          <w:sz w:val="22"/>
          <w:szCs w:val="22"/>
          <w:lang w:val="es-ES"/>
        </w:rPr>
        <w:t xml:space="preserve"> </w:t>
      </w:r>
      <w:r>
        <w:rPr>
          <w:rFonts w:ascii="Arial Narrow" w:hAnsi="Arial Narrow" w:cs="Arial"/>
          <w:b/>
          <w:sz w:val="22"/>
          <w:szCs w:val="22"/>
          <w:lang w:val="es-ES_tradnl"/>
        </w:rPr>
        <w:tab/>
      </w:r>
      <w:r w:rsidRPr="4BCC527C">
        <w:rPr>
          <w:rFonts w:ascii="Arial Narrow" w:eastAsia="Arial Narrow" w:hAnsi="Arial Narrow" w:cs="Arial Narrow"/>
          <w:b/>
          <w:bCs/>
          <w:sz w:val="22"/>
          <w:szCs w:val="22"/>
          <w:lang w:val="es-ES"/>
        </w:rPr>
        <w:t>Ámbito de aplicación del acto administrativo</w:t>
      </w:r>
    </w:p>
    <w:p w14:paraId="478111E6" w14:textId="77777777" w:rsidR="00584CD6" w:rsidRPr="001E42C9" w:rsidRDefault="00584CD6" w:rsidP="4BCC527C">
      <w:pPr>
        <w:jc w:val="both"/>
        <w:rPr>
          <w:rFonts w:ascii="Arial Narrow" w:eastAsia="Arial Narrow" w:hAnsi="Arial Narrow" w:cs="Arial Narrow"/>
          <w:sz w:val="22"/>
          <w:szCs w:val="22"/>
          <w:lang w:val="es-ES"/>
        </w:rPr>
      </w:pPr>
    </w:p>
    <w:p w14:paraId="7DE3ACFF" w14:textId="4A8027BF" w:rsidR="28CD15AA" w:rsidRDefault="28CD15AA" w:rsidP="4BCC527C">
      <w:pPr>
        <w:jc w:val="both"/>
        <w:rPr>
          <w:rFonts w:ascii="Arial Narrow" w:eastAsia="Arial Narrow" w:hAnsi="Arial Narrow" w:cs="Arial Narrow"/>
          <w:sz w:val="22"/>
          <w:szCs w:val="22"/>
        </w:rPr>
      </w:pPr>
      <w:r w:rsidRPr="4BCC527C">
        <w:rPr>
          <w:rFonts w:ascii="Arial Narrow" w:eastAsia="Arial Narrow" w:hAnsi="Arial Narrow" w:cs="Arial Narrow"/>
          <w:sz w:val="22"/>
          <w:szCs w:val="22"/>
          <w:lang w:val="es-ES"/>
        </w:rPr>
        <w:t>El proyecto de resolución tiene por objeto modificar la Política Pública de Vigilancia Preventiva –</w:t>
      </w:r>
      <w:proofErr w:type="spellStart"/>
      <w:r w:rsidRPr="4BCC527C">
        <w:rPr>
          <w:rFonts w:ascii="Arial Narrow" w:eastAsia="Arial Narrow" w:hAnsi="Arial Narrow" w:cs="Arial Narrow"/>
          <w:sz w:val="22"/>
          <w:szCs w:val="22"/>
          <w:lang w:val="es-ES"/>
        </w:rPr>
        <w:t>PrevenTIC</w:t>
      </w:r>
      <w:proofErr w:type="spellEnd"/>
      <w:r w:rsidRPr="4BCC527C">
        <w:rPr>
          <w:rFonts w:ascii="Arial Narrow" w:eastAsia="Arial Narrow" w:hAnsi="Arial Narrow" w:cs="Arial Narrow"/>
          <w:sz w:val="22"/>
          <w:szCs w:val="22"/>
          <w:lang w:val="es-ES"/>
        </w:rPr>
        <w:t xml:space="preserve">- por medio de la cual el Ministerio de Tecnologías de la Información y las Comunicaciones contribuye al crecimiento y desarrollo del sector y al bienestar de los usuarios, optimizando la prestación de los servicios y previniendo la ocurrencia de incumplimientos de las obligaciones legales, reglamentarias o regulatorias, mediante </w:t>
      </w:r>
      <w:r w:rsidR="7258AC89" w:rsidRPr="4BCC527C">
        <w:rPr>
          <w:rFonts w:ascii="Arial Narrow" w:eastAsia="Arial Narrow" w:hAnsi="Arial Narrow" w:cs="Arial Narrow"/>
          <w:sz w:val="22"/>
          <w:szCs w:val="22"/>
          <w:lang w:val="es-ES"/>
        </w:rPr>
        <w:t>i</w:t>
      </w:r>
      <w:r w:rsidR="61DC5024" w:rsidRPr="4BCC527C">
        <w:rPr>
          <w:rFonts w:ascii="Arial Narrow" w:eastAsia="Arial Narrow" w:hAnsi="Arial Narrow" w:cs="Arial Narrow"/>
          <w:sz w:val="22"/>
          <w:szCs w:val="22"/>
          <w:lang w:val="es-ES"/>
        </w:rPr>
        <w:t>ntegración de actores</w:t>
      </w:r>
      <w:r w:rsidR="56935329" w:rsidRPr="4BCC527C">
        <w:rPr>
          <w:rFonts w:ascii="Arial Narrow" w:eastAsia="Arial Narrow" w:hAnsi="Arial Narrow" w:cs="Arial Narrow"/>
          <w:sz w:val="22"/>
          <w:szCs w:val="22"/>
          <w:lang w:val="es-ES"/>
        </w:rPr>
        <w:t xml:space="preserve">, emisión de </w:t>
      </w:r>
      <w:r w:rsidR="0E037BDC" w:rsidRPr="4BCC527C">
        <w:rPr>
          <w:rFonts w:ascii="Arial Narrow" w:eastAsia="Arial Narrow" w:hAnsi="Arial Narrow" w:cs="Arial Narrow"/>
          <w:sz w:val="22"/>
          <w:szCs w:val="22"/>
          <w:lang w:val="es-ES"/>
        </w:rPr>
        <w:t>re</w:t>
      </w:r>
      <w:r w:rsidR="61DC5024" w:rsidRPr="4BCC527C">
        <w:rPr>
          <w:rFonts w:ascii="Arial Narrow" w:eastAsia="Arial Narrow" w:hAnsi="Arial Narrow" w:cs="Arial Narrow"/>
          <w:sz w:val="22"/>
          <w:szCs w:val="22"/>
        </w:rPr>
        <w:t>comendaciones</w:t>
      </w:r>
      <w:r w:rsidR="05FB0BDB" w:rsidRPr="4BCC527C">
        <w:rPr>
          <w:rFonts w:ascii="Arial Narrow" w:eastAsia="Arial Narrow" w:hAnsi="Arial Narrow" w:cs="Arial Narrow"/>
          <w:sz w:val="22"/>
          <w:szCs w:val="22"/>
        </w:rPr>
        <w:t>,</w:t>
      </w:r>
      <w:r w:rsidR="61DC5024" w:rsidRPr="4BCC527C">
        <w:rPr>
          <w:rFonts w:ascii="Arial Narrow" w:eastAsia="Arial Narrow" w:hAnsi="Arial Narrow" w:cs="Arial Narrow"/>
          <w:sz w:val="22"/>
          <w:szCs w:val="22"/>
        </w:rPr>
        <w:t xml:space="preserve"> </w:t>
      </w:r>
      <w:r w:rsidR="1FBD07F5" w:rsidRPr="4BCC527C">
        <w:rPr>
          <w:rFonts w:ascii="Arial Narrow" w:eastAsia="Arial Narrow" w:hAnsi="Arial Narrow" w:cs="Arial Narrow"/>
          <w:sz w:val="22"/>
          <w:szCs w:val="22"/>
        </w:rPr>
        <w:t>divulgación</w:t>
      </w:r>
      <w:r w:rsidR="61DC5024" w:rsidRPr="4BCC527C">
        <w:rPr>
          <w:rFonts w:ascii="Arial Narrow" w:eastAsia="Arial Narrow" w:hAnsi="Arial Narrow" w:cs="Arial Narrow"/>
          <w:sz w:val="22"/>
          <w:szCs w:val="22"/>
        </w:rPr>
        <w:t xml:space="preserve"> y capacitación permanente</w:t>
      </w:r>
      <w:r w:rsidR="5E3115C6" w:rsidRPr="4BCC527C">
        <w:rPr>
          <w:rFonts w:ascii="Arial Narrow" w:eastAsia="Arial Narrow" w:hAnsi="Arial Narrow" w:cs="Arial Narrow"/>
          <w:sz w:val="22"/>
          <w:szCs w:val="22"/>
        </w:rPr>
        <w:t>, a</w:t>
      </w:r>
      <w:r w:rsidR="61DC5024" w:rsidRPr="4BCC527C">
        <w:rPr>
          <w:rFonts w:ascii="Arial Narrow" w:eastAsia="Arial Narrow" w:hAnsi="Arial Narrow" w:cs="Arial Narrow"/>
          <w:sz w:val="22"/>
          <w:szCs w:val="22"/>
        </w:rPr>
        <w:t>cceso a herramientas de consulta</w:t>
      </w:r>
      <w:r w:rsidR="4E5327AA" w:rsidRPr="4BCC527C">
        <w:rPr>
          <w:rFonts w:ascii="Arial Narrow" w:eastAsia="Arial Narrow" w:hAnsi="Arial Narrow" w:cs="Arial Narrow"/>
          <w:sz w:val="22"/>
          <w:szCs w:val="22"/>
        </w:rPr>
        <w:t>, a</w:t>
      </w:r>
      <w:r w:rsidR="61DC5024" w:rsidRPr="4BCC527C">
        <w:rPr>
          <w:rFonts w:ascii="Arial Narrow" w:eastAsia="Arial Narrow" w:hAnsi="Arial Narrow" w:cs="Arial Narrow"/>
          <w:sz w:val="22"/>
          <w:szCs w:val="22"/>
        </w:rPr>
        <w:t>ctualización normativa</w:t>
      </w:r>
      <w:r w:rsidR="08D5FE9E" w:rsidRPr="4BCC527C">
        <w:rPr>
          <w:rFonts w:ascii="Arial Narrow" w:eastAsia="Arial Narrow" w:hAnsi="Arial Narrow" w:cs="Arial Narrow"/>
          <w:sz w:val="22"/>
          <w:szCs w:val="22"/>
        </w:rPr>
        <w:t xml:space="preserve"> y r</w:t>
      </w:r>
      <w:r w:rsidR="61DC5024" w:rsidRPr="4BCC527C">
        <w:rPr>
          <w:rFonts w:ascii="Arial Narrow" w:eastAsia="Arial Narrow" w:hAnsi="Arial Narrow" w:cs="Arial Narrow"/>
          <w:sz w:val="22"/>
          <w:szCs w:val="22"/>
        </w:rPr>
        <w:t>evisión de información</w:t>
      </w:r>
      <w:r w:rsidR="6DB52EE3" w:rsidRPr="4BCC527C">
        <w:rPr>
          <w:rFonts w:ascii="Arial Narrow" w:eastAsia="Arial Narrow" w:hAnsi="Arial Narrow" w:cs="Arial Narrow"/>
          <w:sz w:val="22"/>
          <w:szCs w:val="22"/>
        </w:rPr>
        <w:t>, con la premisa de adecuar los alcances de las acciones implementadas y promover las medidas adoptadas por los vigilados, para generar acciones preventivas y correctivas respecto de sus obligaciones legales, regulatorias, reglamentarias, sin que ello signifique – necesariamente – abstenerse de imponer una sanción administrativa</w:t>
      </w:r>
      <w:r w:rsidR="5E0C7E27" w:rsidRPr="4BCC527C">
        <w:rPr>
          <w:rFonts w:ascii="Arial Narrow" w:eastAsia="Arial Narrow" w:hAnsi="Arial Narrow" w:cs="Arial Narrow"/>
          <w:sz w:val="22"/>
          <w:szCs w:val="22"/>
        </w:rPr>
        <w:t>.</w:t>
      </w:r>
    </w:p>
    <w:p w14:paraId="38ED9956" w14:textId="3452338F" w:rsidR="4BCC527C" w:rsidRDefault="4BCC527C" w:rsidP="4BCC527C">
      <w:pPr>
        <w:jc w:val="both"/>
        <w:rPr>
          <w:rFonts w:ascii="Arial Narrow" w:eastAsia="Arial Narrow" w:hAnsi="Arial Narrow" w:cs="Arial Narrow"/>
          <w:sz w:val="22"/>
          <w:szCs w:val="22"/>
          <w:lang w:val="es-ES"/>
        </w:rPr>
      </w:pPr>
    </w:p>
    <w:p w14:paraId="4B1AE132" w14:textId="3E81CF01" w:rsidR="4BCC527C" w:rsidRDefault="4BCC527C" w:rsidP="4BCC527C">
      <w:pPr>
        <w:jc w:val="both"/>
        <w:rPr>
          <w:rFonts w:ascii="Arial Narrow" w:eastAsia="Arial Narrow" w:hAnsi="Arial Narrow" w:cs="Arial Narrow"/>
          <w:sz w:val="22"/>
          <w:szCs w:val="22"/>
          <w:lang w:val="es-ES"/>
        </w:rPr>
      </w:pPr>
    </w:p>
    <w:p w14:paraId="54440619" w14:textId="429EA608" w:rsidR="4BCC527C" w:rsidRDefault="4BCC527C" w:rsidP="4BCC527C">
      <w:pPr>
        <w:jc w:val="both"/>
        <w:rPr>
          <w:rFonts w:ascii="Arial Narrow" w:eastAsia="Arial Narrow" w:hAnsi="Arial Narrow" w:cs="Arial Narrow"/>
          <w:sz w:val="22"/>
          <w:szCs w:val="22"/>
          <w:lang w:val="es-ES"/>
        </w:rPr>
      </w:pPr>
    </w:p>
    <w:p w14:paraId="2018A4A4" w14:textId="77777777" w:rsidR="00584CD6" w:rsidRPr="001E42C9" w:rsidRDefault="00584CD6" w:rsidP="4BCC527C">
      <w:pPr>
        <w:jc w:val="both"/>
        <w:rPr>
          <w:rFonts w:ascii="Arial Narrow" w:eastAsia="Arial Narrow" w:hAnsi="Arial Narrow" w:cs="Arial Narrow"/>
          <w:sz w:val="22"/>
          <w:szCs w:val="22"/>
          <w:lang w:val="es-ES"/>
        </w:rPr>
      </w:pPr>
    </w:p>
    <w:p w14:paraId="6C70D8CE" w14:textId="69473623" w:rsidR="00584CD6" w:rsidRPr="001E42C9" w:rsidRDefault="00584CD6" w:rsidP="4BCC527C">
      <w:pPr>
        <w:jc w:val="both"/>
        <w:rPr>
          <w:rFonts w:ascii="Arial Narrow" w:eastAsia="Arial Narrow" w:hAnsi="Arial Narrow" w:cs="Arial Narrow"/>
          <w:b/>
          <w:bCs/>
          <w:sz w:val="22"/>
          <w:szCs w:val="22"/>
          <w:lang w:val="es-ES"/>
        </w:rPr>
      </w:pPr>
      <w:r w:rsidRPr="4BCC527C">
        <w:rPr>
          <w:rFonts w:ascii="Arial Narrow" w:eastAsia="Arial Narrow" w:hAnsi="Arial Narrow" w:cs="Arial Narrow"/>
          <w:b/>
          <w:bCs/>
          <w:sz w:val="22"/>
          <w:szCs w:val="22"/>
          <w:lang w:val="es-ES"/>
        </w:rPr>
        <w:t>3.</w:t>
      </w:r>
      <w:r w:rsidR="3383B172" w:rsidRPr="4BCC527C">
        <w:rPr>
          <w:rFonts w:ascii="Arial Narrow" w:eastAsia="Arial Narrow" w:hAnsi="Arial Narrow" w:cs="Arial Narrow"/>
          <w:b/>
          <w:bCs/>
          <w:sz w:val="22"/>
          <w:szCs w:val="22"/>
          <w:lang w:val="es-ES"/>
        </w:rPr>
        <w:t xml:space="preserve"> </w:t>
      </w:r>
      <w:r>
        <w:rPr>
          <w:rFonts w:ascii="Arial Narrow" w:hAnsi="Arial Narrow" w:cs="Arial"/>
          <w:b/>
          <w:sz w:val="22"/>
          <w:szCs w:val="22"/>
          <w:lang w:val="es-ES_tradnl"/>
        </w:rPr>
        <w:tab/>
      </w:r>
      <w:r w:rsidRPr="4BCC527C">
        <w:rPr>
          <w:rFonts w:ascii="Arial Narrow" w:eastAsia="Arial Narrow" w:hAnsi="Arial Narrow" w:cs="Arial Narrow"/>
          <w:b/>
          <w:bCs/>
          <w:sz w:val="22"/>
          <w:szCs w:val="22"/>
          <w:lang w:val="es-ES"/>
        </w:rPr>
        <w:t xml:space="preserve">Estudio preliminar de viabilidad jurídica de la expedición de la norma </w:t>
      </w:r>
    </w:p>
    <w:p w14:paraId="403A3DA3" w14:textId="77777777" w:rsidR="00584CD6" w:rsidRPr="001E42C9" w:rsidRDefault="00584CD6" w:rsidP="4BCC527C">
      <w:pPr>
        <w:jc w:val="both"/>
        <w:rPr>
          <w:rFonts w:ascii="Arial Narrow" w:eastAsia="Arial Narrow" w:hAnsi="Arial Narrow" w:cs="Arial Narrow"/>
          <w:sz w:val="22"/>
          <w:szCs w:val="22"/>
          <w:lang w:val="es-ES"/>
        </w:rPr>
      </w:pPr>
    </w:p>
    <w:p w14:paraId="155B7826" w14:textId="402BB219" w:rsidR="00584CD6" w:rsidRPr="00B94214" w:rsidRDefault="00584CD6" w:rsidP="4BCC527C">
      <w:pPr>
        <w:widowControl w:val="0"/>
        <w:autoSpaceDE w:val="0"/>
        <w:autoSpaceDN w:val="0"/>
        <w:adjustRightInd w:val="0"/>
        <w:ind w:left="705" w:hanging="705"/>
        <w:contextualSpacing/>
        <w:jc w:val="both"/>
        <w:rPr>
          <w:rFonts w:ascii="Arial Narrow" w:eastAsia="Arial Narrow" w:hAnsi="Arial Narrow" w:cs="Arial Narrow"/>
          <w:sz w:val="22"/>
          <w:szCs w:val="22"/>
        </w:rPr>
      </w:pPr>
      <w:r w:rsidRPr="4BCC527C">
        <w:rPr>
          <w:rFonts w:ascii="Arial Narrow" w:eastAsia="Arial Narrow" w:hAnsi="Arial Narrow" w:cs="Arial Narrow"/>
          <w:b/>
          <w:bCs/>
          <w:sz w:val="22"/>
          <w:szCs w:val="22"/>
        </w:rPr>
        <w:t>3.1.</w:t>
      </w:r>
      <w:r w:rsidR="0CA0099A" w:rsidRPr="4BCC527C">
        <w:rPr>
          <w:rFonts w:ascii="Arial Narrow" w:eastAsia="Arial Narrow" w:hAnsi="Arial Narrow" w:cs="Arial Narrow"/>
          <w:b/>
          <w:bCs/>
          <w:sz w:val="22"/>
          <w:szCs w:val="22"/>
        </w:rPr>
        <w:t xml:space="preserve"> </w:t>
      </w:r>
      <w:r>
        <w:rPr>
          <w:rFonts w:ascii="Arial Narrow" w:hAnsi="Arial Narrow" w:cs="Arial"/>
          <w:b/>
          <w:sz w:val="22"/>
          <w:szCs w:val="22"/>
        </w:rPr>
        <w:tab/>
      </w:r>
      <w:r w:rsidRPr="4BCC527C">
        <w:rPr>
          <w:rFonts w:ascii="Arial Narrow" w:eastAsia="Arial Narrow" w:hAnsi="Arial Narrow" w:cs="Arial Narrow"/>
          <w:sz w:val="22"/>
          <w:szCs w:val="22"/>
        </w:rPr>
        <w:t xml:space="preserve">Análisis expreso y detallado de las normas que otorgan competencia para la expedición del </w:t>
      </w:r>
      <w:r w:rsidRPr="4BCC527C">
        <w:rPr>
          <w:rFonts w:ascii="Arial Narrow" w:eastAsia="Arial Narrow" w:hAnsi="Arial Narrow" w:cs="Arial Narrow"/>
          <w:sz w:val="22"/>
          <w:szCs w:val="22"/>
          <w:lang w:val="es-ES"/>
        </w:rPr>
        <w:t>acto administrativo:</w:t>
      </w:r>
    </w:p>
    <w:p w14:paraId="711D0CCA" w14:textId="77777777" w:rsidR="00584CD6" w:rsidRPr="001E42C9" w:rsidRDefault="00584CD6" w:rsidP="4BCC527C">
      <w:pPr>
        <w:widowControl w:val="0"/>
        <w:autoSpaceDE w:val="0"/>
        <w:autoSpaceDN w:val="0"/>
        <w:adjustRightInd w:val="0"/>
        <w:contextualSpacing/>
        <w:jc w:val="both"/>
        <w:rPr>
          <w:rFonts w:ascii="Arial Narrow" w:eastAsia="Arial Narrow" w:hAnsi="Arial Narrow" w:cs="Arial Narrow"/>
          <w:b/>
          <w:bCs/>
          <w:sz w:val="22"/>
          <w:szCs w:val="22"/>
        </w:rPr>
      </w:pPr>
    </w:p>
    <w:p w14:paraId="35365967" w14:textId="3823CA3D" w:rsidR="00107C29" w:rsidRDefault="00584CD6" w:rsidP="4BCC527C">
      <w:pPr>
        <w:contextualSpacing/>
        <w:jc w:val="both"/>
        <w:rPr>
          <w:rFonts w:ascii="Arial Narrow" w:eastAsia="Arial Narrow" w:hAnsi="Arial Narrow" w:cs="Arial Narrow"/>
          <w:sz w:val="22"/>
          <w:szCs w:val="22"/>
        </w:rPr>
      </w:pPr>
      <w:r w:rsidRPr="4BCC527C">
        <w:rPr>
          <w:rFonts w:ascii="Arial Narrow" w:eastAsia="Arial Narrow" w:hAnsi="Arial Narrow" w:cs="Arial Narrow"/>
          <w:sz w:val="22"/>
          <w:szCs w:val="22"/>
        </w:rPr>
        <w:t xml:space="preserve">Las </w:t>
      </w:r>
      <w:r w:rsidR="00815637" w:rsidRPr="4BCC527C">
        <w:rPr>
          <w:rFonts w:ascii="Arial Narrow" w:eastAsia="Arial Narrow" w:hAnsi="Arial Narrow" w:cs="Arial Narrow"/>
          <w:sz w:val="22"/>
          <w:szCs w:val="22"/>
        </w:rPr>
        <w:t xml:space="preserve">disposiciones </w:t>
      </w:r>
      <w:r w:rsidRPr="4BCC527C">
        <w:rPr>
          <w:rFonts w:ascii="Arial Narrow" w:eastAsia="Arial Narrow" w:hAnsi="Arial Narrow" w:cs="Arial Narrow"/>
          <w:sz w:val="22"/>
          <w:szCs w:val="22"/>
        </w:rPr>
        <w:t xml:space="preserve">que otorgan la competencia para la expedición del acto administrativo están contenidas en las siguientes normas: </w:t>
      </w:r>
    </w:p>
    <w:p w14:paraId="74EAB0DC" w14:textId="6A8FDC5C" w:rsidR="00107C29" w:rsidRDefault="00107C29" w:rsidP="4BCC527C">
      <w:pPr>
        <w:contextualSpacing/>
        <w:jc w:val="both"/>
        <w:rPr>
          <w:rFonts w:ascii="Arial Narrow" w:eastAsia="Arial Narrow" w:hAnsi="Arial Narrow" w:cs="Arial Narrow"/>
          <w:sz w:val="22"/>
          <w:szCs w:val="22"/>
        </w:rPr>
      </w:pPr>
    </w:p>
    <w:p w14:paraId="2C0599C1" w14:textId="3DD1D2E9" w:rsidR="00107C29" w:rsidRDefault="00DF659D" w:rsidP="4BCC527C">
      <w:pPr>
        <w:contextualSpacing/>
        <w:jc w:val="both"/>
        <w:rPr>
          <w:rFonts w:ascii="Arial Narrow" w:eastAsia="Arial Narrow" w:hAnsi="Arial Narrow" w:cs="Arial Narrow"/>
          <w:sz w:val="22"/>
          <w:szCs w:val="22"/>
        </w:rPr>
      </w:pPr>
      <w:r w:rsidRPr="4BCC527C">
        <w:rPr>
          <w:rFonts w:ascii="Arial Narrow" w:eastAsia="Arial Narrow" w:hAnsi="Arial Narrow" w:cs="Arial Narrow"/>
          <w:sz w:val="22"/>
          <w:szCs w:val="22"/>
        </w:rPr>
        <w:t>El numeral 1 del artículo del artículo 17 de la Ley 1341 de 2009, modificado por el artículo 13 de la Ley 1978 de 2019, establece que corresponde al Ministerio de Tecnologías de la Información y las Comunicaciones diseñar, formular, adoptar y promover las políticas, planes, programas y proyectos del sector de Tecnologías de la Información y las Comunicaciones, en correspondencia con la Constitución Política y la Ley, con el fin de promover la inversión y el cierre de la brecha digital, contribuir al desarrollo económico, social y político de la Nación, y elevar el bienestar de los colombianos.</w:t>
      </w:r>
    </w:p>
    <w:p w14:paraId="35950C3D" w14:textId="3203409A" w:rsidR="00DF659D" w:rsidRDefault="00DF659D" w:rsidP="4BCC527C">
      <w:pPr>
        <w:contextualSpacing/>
        <w:jc w:val="both"/>
        <w:rPr>
          <w:rFonts w:ascii="Arial Narrow" w:eastAsia="Arial Narrow" w:hAnsi="Arial Narrow" w:cs="Arial Narrow"/>
          <w:sz w:val="22"/>
          <w:szCs w:val="22"/>
        </w:rPr>
      </w:pPr>
    </w:p>
    <w:p w14:paraId="41D20F83" w14:textId="6905B3AF" w:rsidR="00DF659D" w:rsidRDefault="00DF659D" w:rsidP="4BCC527C">
      <w:pPr>
        <w:contextualSpacing/>
        <w:jc w:val="both"/>
        <w:rPr>
          <w:rFonts w:ascii="Arial Narrow" w:eastAsia="Arial Narrow" w:hAnsi="Arial Narrow" w:cs="Arial Narrow"/>
          <w:sz w:val="22"/>
          <w:szCs w:val="22"/>
        </w:rPr>
      </w:pPr>
      <w:r w:rsidRPr="4BCC527C">
        <w:rPr>
          <w:rFonts w:ascii="Arial Narrow" w:eastAsia="Arial Narrow" w:hAnsi="Arial Narrow" w:cs="Arial Narrow"/>
          <w:sz w:val="22"/>
          <w:szCs w:val="22"/>
        </w:rPr>
        <w:t xml:space="preserve">El numeral 4 del artículo del artículo 17 de la Ley 1341 de 2009, modificado por el artículo 13 de la Ley 1978 de 2019, establece que corresponde al Ministerio de Tecnologías de la Información y las Comunicaciones definir la política pública y adelantar la inspección, vigilancia y el control del sector de Tecnologías de la Información y las Comunicaciones, incluyendo el servicio de televisión abierta radiodifundida y el servicio de radiodifusión sonora, con excepción de aquellas funciones de inspección, vigilancia y control expresamente asignadas en </w:t>
      </w:r>
      <w:r w:rsidR="00815637" w:rsidRPr="4BCC527C">
        <w:rPr>
          <w:rFonts w:ascii="Arial Narrow" w:eastAsia="Arial Narrow" w:hAnsi="Arial Narrow" w:cs="Arial Narrow"/>
          <w:sz w:val="22"/>
          <w:szCs w:val="22"/>
        </w:rPr>
        <w:t>dicha</w:t>
      </w:r>
      <w:r w:rsidRPr="4BCC527C">
        <w:rPr>
          <w:rFonts w:ascii="Arial Narrow" w:eastAsia="Arial Narrow" w:hAnsi="Arial Narrow" w:cs="Arial Narrow"/>
          <w:sz w:val="22"/>
          <w:szCs w:val="22"/>
        </w:rPr>
        <w:t xml:space="preserve"> Ley a la Comisión de Regulación de Comunicaciones y a la Agencia Nacional del Espectro.</w:t>
      </w:r>
    </w:p>
    <w:p w14:paraId="42050968" w14:textId="5646BEE2" w:rsidR="00DF7654" w:rsidRDefault="00DF7654" w:rsidP="4BCC527C">
      <w:pPr>
        <w:contextualSpacing/>
        <w:jc w:val="both"/>
        <w:rPr>
          <w:rFonts w:ascii="Arial Narrow" w:eastAsia="Arial Narrow" w:hAnsi="Arial Narrow" w:cs="Arial Narrow"/>
          <w:sz w:val="22"/>
          <w:szCs w:val="22"/>
        </w:rPr>
      </w:pPr>
    </w:p>
    <w:p w14:paraId="0A14A931" w14:textId="7E22B645" w:rsidR="00154889" w:rsidRDefault="00154889" w:rsidP="4BCC527C">
      <w:pPr>
        <w:contextualSpacing/>
        <w:jc w:val="both"/>
        <w:rPr>
          <w:rFonts w:ascii="Arial Narrow" w:eastAsia="Arial Narrow" w:hAnsi="Arial Narrow" w:cs="Arial Narrow"/>
          <w:sz w:val="22"/>
          <w:szCs w:val="22"/>
        </w:rPr>
      </w:pPr>
      <w:r w:rsidRPr="4BCC527C">
        <w:rPr>
          <w:rFonts w:ascii="Arial Narrow" w:eastAsia="Arial Narrow" w:hAnsi="Arial Narrow" w:cs="Arial Narrow"/>
          <w:sz w:val="22"/>
          <w:szCs w:val="22"/>
        </w:rPr>
        <w:t>El numeral 11 del artículo 18 de la Ley 1341</w:t>
      </w:r>
      <w:r w:rsidR="00815637" w:rsidRPr="4BCC527C">
        <w:rPr>
          <w:rFonts w:ascii="Arial Narrow" w:eastAsia="Arial Narrow" w:hAnsi="Arial Narrow" w:cs="Arial Narrow"/>
          <w:sz w:val="22"/>
          <w:szCs w:val="22"/>
        </w:rPr>
        <w:t xml:space="preserve"> de 2009</w:t>
      </w:r>
      <w:r w:rsidRPr="4BCC527C">
        <w:rPr>
          <w:rFonts w:ascii="Arial Narrow" w:eastAsia="Arial Narrow" w:hAnsi="Arial Narrow" w:cs="Arial Narrow"/>
          <w:sz w:val="22"/>
          <w:szCs w:val="22"/>
        </w:rPr>
        <w:t xml:space="preserve">, modificado por el </w:t>
      </w:r>
      <w:r w:rsidRPr="4BCC527C">
        <w:rPr>
          <w:rFonts w:ascii="Arial Narrow" w:eastAsia="Arial Narrow" w:hAnsi="Arial Narrow" w:cs="Arial Narrow"/>
          <w:sz w:val="22"/>
          <w:szCs w:val="22"/>
          <w:lang w:val="es-ES"/>
        </w:rPr>
        <w:t>artículo 14 de la Ley 1978 de 2019, señala que corresponde al Ministerio de</w:t>
      </w:r>
      <w:r w:rsidRPr="4BCC527C">
        <w:rPr>
          <w:rFonts w:ascii="Arial Narrow" w:eastAsia="Arial Narrow" w:hAnsi="Arial Narrow" w:cs="Arial Narrow"/>
          <w:sz w:val="22"/>
          <w:szCs w:val="22"/>
        </w:rPr>
        <w:t xml:space="preserve"> Tecnologías de la Información y las Comunicaciones </w:t>
      </w:r>
      <w:r w:rsidR="00815637" w:rsidRPr="4BCC527C">
        <w:rPr>
          <w:rFonts w:ascii="Arial Narrow" w:eastAsia="Arial Narrow" w:hAnsi="Arial Narrow" w:cs="Arial Narrow"/>
          <w:sz w:val="22"/>
          <w:szCs w:val="22"/>
        </w:rPr>
        <w:t xml:space="preserve">ejercer </w:t>
      </w:r>
      <w:r w:rsidRPr="4BCC527C">
        <w:rPr>
          <w:rFonts w:ascii="Arial Narrow" w:eastAsia="Arial Narrow" w:hAnsi="Arial Narrow" w:cs="Arial Narrow"/>
          <w:sz w:val="22"/>
          <w:szCs w:val="22"/>
        </w:rPr>
        <w:t xml:space="preserve">las funciones de inspección, vigilancia y control en el sector de Tecnologías de la Información y las Comunicaciones, </w:t>
      </w:r>
      <w:r w:rsidR="00815637" w:rsidRPr="4BCC527C">
        <w:rPr>
          <w:rFonts w:ascii="Arial Narrow" w:eastAsia="Arial Narrow" w:hAnsi="Arial Narrow" w:cs="Arial Narrow"/>
          <w:sz w:val="22"/>
          <w:szCs w:val="22"/>
        </w:rPr>
        <w:t xml:space="preserve">de conformidad </w:t>
      </w:r>
      <w:r w:rsidRPr="4BCC527C">
        <w:rPr>
          <w:rFonts w:ascii="Arial Narrow" w:eastAsia="Arial Narrow" w:hAnsi="Arial Narrow" w:cs="Arial Narrow"/>
          <w:sz w:val="22"/>
          <w:szCs w:val="22"/>
        </w:rPr>
        <w:t>con la Ley.</w:t>
      </w:r>
    </w:p>
    <w:p w14:paraId="2AE2BDC8" w14:textId="77777777" w:rsidR="00154889" w:rsidRDefault="00154889" w:rsidP="4BCC527C">
      <w:pPr>
        <w:contextualSpacing/>
        <w:jc w:val="both"/>
        <w:rPr>
          <w:rFonts w:ascii="Arial Narrow" w:eastAsia="Arial Narrow" w:hAnsi="Arial Narrow" w:cs="Arial Narrow"/>
          <w:sz w:val="22"/>
          <w:szCs w:val="22"/>
        </w:rPr>
      </w:pPr>
    </w:p>
    <w:p w14:paraId="62F6AF96" w14:textId="14B76CA8" w:rsidR="00584CD6" w:rsidRPr="00154889" w:rsidRDefault="00DF7654" w:rsidP="4BCC527C">
      <w:pPr>
        <w:contextualSpacing/>
        <w:jc w:val="both"/>
        <w:rPr>
          <w:rFonts w:ascii="Arial Narrow" w:eastAsia="Arial Narrow" w:hAnsi="Arial Narrow" w:cs="Arial Narrow"/>
          <w:sz w:val="22"/>
          <w:szCs w:val="22"/>
        </w:rPr>
      </w:pPr>
      <w:r w:rsidRPr="4BCC527C">
        <w:rPr>
          <w:rFonts w:ascii="Arial Narrow" w:eastAsia="Arial Narrow" w:hAnsi="Arial Narrow" w:cs="Arial Narrow"/>
          <w:sz w:val="22"/>
          <w:szCs w:val="22"/>
        </w:rPr>
        <w:t xml:space="preserve">El artículo 18 de la Ley 1369 de 2009 determina que corresponde al Ministerio de </w:t>
      </w:r>
      <w:r w:rsidR="00154889" w:rsidRPr="4BCC527C">
        <w:rPr>
          <w:rFonts w:ascii="Arial Narrow" w:eastAsia="Arial Narrow" w:hAnsi="Arial Narrow" w:cs="Arial Narrow"/>
          <w:sz w:val="22"/>
          <w:szCs w:val="22"/>
        </w:rPr>
        <w:t xml:space="preserve">Tecnologías de la </w:t>
      </w:r>
      <w:r w:rsidRPr="4BCC527C">
        <w:rPr>
          <w:rFonts w:ascii="Arial Narrow" w:eastAsia="Arial Narrow" w:hAnsi="Arial Narrow" w:cs="Arial Narrow"/>
          <w:sz w:val="22"/>
          <w:szCs w:val="22"/>
        </w:rPr>
        <w:t>Información y las Comunicaciones fijar la Política General de Servicios Postales</w:t>
      </w:r>
      <w:r w:rsidR="00CB0EFF" w:rsidRPr="4BCC527C">
        <w:rPr>
          <w:rFonts w:ascii="Arial Narrow" w:eastAsia="Arial Narrow" w:hAnsi="Arial Narrow" w:cs="Arial Narrow"/>
          <w:sz w:val="22"/>
          <w:szCs w:val="22"/>
        </w:rPr>
        <w:t>, dentro del marco general de la Política de Comunicaciones y, concretamente, establecer las políticas especiales en el sector.</w:t>
      </w:r>
      <w:r w:rsidR="00154889" w:rsidRPr="4BCC527C">
        <w:rPr>
          <w:rFonts w:ascii="Arial Narrow" w:eastAsia="Arial Narrow" w:hAnsi="Arial Narrow" w:cs="Arial Narrow"/>
          <w:sz w:val="22"/>
          <w:szCs w:val="22"/>
        </w:rPr>
        <w:t xml:space="preserve"> Así mismo, debe actuar como Autoridad de Inspección, Control y Vigilancia frente a todos los Operadores Postales, con excepción de la vigilancia sobre el cumplimiento de las normas relacionadas con la protección de la Competencia, la protección del consumidor y el lavado de activos.</w:t>
      </w:r>
    </w:p>
    <w:p w14:paraId="2CBAFF62" w14:textId="4E212649" w:rsidR="00584CD6" w:rsidRPr="001E42C9" w:rsidRDefault="00A27723" w:rsidP="4BCC527C">
      <w:pPr>
        <w:contextualSpacing/>
        <w:jc w:val="both"/>
        <w:rPr>
          <w:rFonts w:ascii="Arial Narrow" w:eastAsia="Arial Narrow" w:hAnsi="Arial Narrow" w:cs="Arial Narrow"/>
          <w:sz w:val="22"/>
          <w:szCs w:val="22"/>
        </w:rPr>
      </w:pPr>
      <w:r w:rsidRPr="4BCC527C">
        <w:rPr>
          <w:rFonts w:ascii="Arial Narrow" w:eastAsia="Arial Narrow" w:hAnsi="Arial Narrow" w:cs="Arial Narrow"/>
          <w:sz w:val="22"/>
          <w:szCs w:val="22"/>
        </w:rPr>
        <w:t xml:space="preserve"> </w:t>
      </w:r>
    </w:p>
    <w:p w14:paraId="1CE4300A" w14:textId="44EEF654" w:rsidR="00584CD6" w:rsidRPr="00B94214" w:rsidRDefault="00584CD6" w:rsidP="4BCC527C">
      <w:pPr>
        <w:spacing w:line="276" w:lineRule="atLeast"/>
        <w:jc w:val="both"/>
        <w:rPr>
          <w:rFonts w:ascii="Arial Narrow" w:eastAsia="Arial Narrow" w:hAnsi="Arial Narrow" w:cs="Arial Narrow"/>
          <w:sz w:val="22"/>
          <w:szCs w:val="22"/>
        </w:rPr>
      </w:pPr>
      <w:r w:rsidRPr="4BCC527C">
        <w:rPr>
          <w:rFonts w:ascii="Arial Narrow" w:eastAsia="Arial Narrow" w:hAnsi="Arial Narrow" w:cs="Arial Narrow"/>
          <w:b/>
          <w:bCs/>
          <w:sz w:val="22"/>
          <w:szCs w:val="22"/>
          <w:lang w:eastAsia="en-US"/>
        </w:rPr>
        <w:t>3.2.</w:t>
      </w:r>
      <w:r w:rsidR="66D5AF05" w:rsidRPr="4BCC527C">
        <w:rPr>
          <w:rFonts w:ascii="Arial Narrow" w:eastAsia="Arial Narrow" w:hAnsi="Arial Narrow" w:cs="Arial Narrow"/>
          <w:b/>
          <w:bCs/>
          <w:sz w:val="22"/>
          <w:szCs w:val="22"/>
          <w:lang w:eastAsia="en-US"/>
        </w:rPr>
        <w:t xml:space="preserve"> </w:t>
      </w:r>
      <w:r>
        <w:rPr>
          <w:rFonts w:ascii="Arial Narrow" w:hAnsi="Arial Narrow" w:cs="Arial"/>
          <w:b/>
          <w:sz w:val="22"/>
          <w:szCs w:val="22"/>
          <w:lang w:eastAsia="en-US"/>
        </w:rPr>
        <w:tab/>
      </w:r>
      <w:r w:rsidRPr="4BCC527C">
        <w:rPr>
          <w:rFonts w:ascii="Arial Narrow" w:eastAsia="Arial Narrow" w:hAnsi="Arial Narrow" w:cs="Arial Narrow"/>
          <w:sz w:val="22"/>
          <w:szCs w:val="22"/>
          <w:lang w:eastAsia="en-US"/>
        </w:rPr>
        <w:t xml:space="preserve">Vigencia de la ley o norma reglamentada o desarrollada con el </w:t>
      </w:r>
      <w:r w:rsidRPr="4BCC527C">
        <w:rPr>
          <w:rFonts w:ascii="Arial Narrow" w:eastAsia="Arial Narrow" w:hAnsi="Arial Narrow" w:cs="Arial Narrow"/>
          <w:sz w:val="22"/>
          <w:szCs w:val="22"/>
          <w:lang w:val="es-ES"/>
        </w:rPr>
        <w:t>acto administrativo</w:t>
      </w:r>
      <w:r w:rsidRPr="4BCC527C">
        <w:rPr>
          <w:rFonts w:ascii="Arial Narrow" w:eastAsia="Arial Narrow" w:hAnsi="Arial Narrow" w:cs="Arial Narrow"/>
          <w:sz w:val="22"/>
          <w:szCs w:val="22"/>
          <w:lang w:eastAsia="en-US"/>
        </w:rPr>
        <w:t>:</w:t>
      </w:r>
    </w:p>
    <w:p w14:paraId="7913B683" w14:textId="77777777" w:rsidR="00584CD6" w:rsidRPr="00B94214" w:rsidRDefault="00584CD6" w:rsidP="4BCC527C">
      <w:pPr>
        <w:jc w:val="both"/>
        <w:rPr>
          <w:rFonts w:ascii="Arial Narrow" w:eastAsia="Arial Narrow" w:hAnsi="Arial Narrow" w:cs="Arial Narrow"/>
          <w:sz w:val="22"/>
          <w:szCs w:val="22"/>
          <w:lang w:val="es-ES"/>
        </w:rPr>
      </w:pPr>
    </w:p>
    <w:p w14:paraId="1C1C86E6" w14:textId="08712B1C" w:rsidR="00584CD6" w:rsidRDefault="00154889" w:rsidP="4BCC527C">
      <w:pPr>
        <w:jc w:val="both"/>
        <w:rPr>
          <w:rFonts w:ascii="Arial Narrow" w:eastAsia="Arial Narrow" w:hAnsi="Arial Narrow" w:cs="Arial Narrow"/>
          <w:sz w:val="22"/>
          <w:szCs w:val="22"/>
          <w:lang w:val="es-ES"/>
        </w:rPr>
      </w:pPr>
      <w:r w:rsidRPr="4BCC527C">
        <w:rPr>
          <w:rFonts w:ascii="Arial Narrow" w:eastAsia="Arial Narrow" w:hAnsi="Arial Narrow" w:cs="Arial Narrow"/>
          <w:sz w:val="22"/>
          <w:szCs w:val="22"/>
          <w:lang w:val="es-ES"/>
        </w:rPr>
        <w:t xml:space="preserve">La Resolución 3160 de 2017 que pretende ser </w:t>
      </w:r>
      <w:r w:rsidR="55139D9F" w:rsidRPr="4BCC527C">
        <w:rPr>
          <w:rFonts w:ascii="Arial Narrow" w:eastAsia="Arial Narrow" w:hAnsi="Arial Narrow" w:cs="Arial Narrow"/>
          <w:sz w:val="22"/>
          <w:szCs w:val="22"/>
          <w:lang w:val="es-ES"/>
        </w:rPr>
        <w:t>modificada,</w:t>
      </w:r>
      <w:r w:rsidRPr="4BCC527C">
        <w:rPr>
          <w:rFonts w:ascii="Arial Narrow" w:eastAsia="Arial Narrow" w:hAnsi="Arial Narrow" w:cs="Arial Narrow"/>
          <w:sz w:val="22"/>
          <w:szCs w:val="22"/>
          <w:lang w:val="es-ES"/>
        </w:rPr>
        <w:t xml:space="preserve"> se encuentra actualmente vigente.</w:t>
      </w:r>
    </w:p>
    <w:p w14:paraId="1B2468B2" w14:textId="77777777" w:rsidR="00584CD6" w:rsidRPr="001E42C9" w:rsidRDefault="00584CD6" w:rsidP="4BCC527C">
      <w:pPr>
        <w:jc w:val="both"/>
        <w:rPr>
          <w:rFonts w:ascii="Arial Narrow" w:eastAsia="Arial Narrow" w:hAnsi="Arial Narrow" w:cs="Arial Narrow"/>
          <w:sz w:val="22"/>
          <w:szCs w:val="22"/>
          <w:lang w:val="es-ES"/>
        </w:rPr>
      </w:pPr>
    </w:p>
    <w:p w14:paraId="39E1746A" w14:textId="122FE2AE" w:rsidR="00584CD6" w:rsidRPr="00154889" w:rsidRDefault="00584CD6" w:rsidP="4BCC527C">
      <w:pPr>
        <w:spacing w:after="262" w:line="271" w:lineRule="atLeast"/>
        <w:ind w:right="49"/>
        <w:jc w:val="both"/>
        <w:rPr>
          <w:rFonts w:ascii="Arial Narrow" w:eastAsia="Arial Narrow" w:hAnsi="Arial Narrow" w:cs="Arial Narrow"/>
          <w:sz w:val="22"/>
          <w:szCs w:val="22"/>
        </w:rPr>
      </w:pPr>
      <w:r w:rsidRPr="4BCC527C">
        <w:rPr>
          <w:rFonts w:ascii="Arial Narrow" w:eastAsia="Arial Narrow" w:hAnsi="Arial Narrow" w:cs="Arial Narrow"/>
          <w:b/>
          <w:bCs/>
          <w:color w:val="000000"/>
          <w:sz w:val="22"/>
          <w:szCs w:val="22"/>
          <w:lang w:eastAsia="en-US"/>
        </w:rPr>
        <w:t>3.3.</w:t>
      </w:r>
      <w:r w:rsidR="78A042BF" w:rsidRPr="4BCC527C">
        <w:rPr>
          <w:rFonts w:ascii="Arial Narrow" w:eastAsia="Arial Narrow" w:hAnsi="Arial Narrow" w:cs="Arial Narrow"/>
          <w:b/>
          <w:bCs/>
          <w:color w:val="000000"/>
          <w:sz w:val="22"/>
          <w:szCs w:val="22"/>
          <w:lang w:eastAsia="en-US"/>
        </w:rPr>
        <w:t xml:space="preserve"> </w:t>
      </w:r>
      <w:r>
        <w:rPr>
          <w:rFonts w:ascii="Arial Narrow" w:hAnsi="Arial Narrow" w:cs="Arial"/>
          <w:b/>
          <w:color w:val="000000"/>
          <w:sz w:val="22"/>
          <w:szCs w:val="22"/>
          <w:lang w:eastAsia="en-US"/>
        </w:rPr>
        <w:tab/>
      </w:r>
      <w:r w:rsidRPr="4BCC527C">
        <w:rPr>
          <w:rFonts w:ascii="Arial Narrow" w:eastAsia="Arial Narrow" w:hAnsi="Arial Narrow" w:cs="Arial Narrow"/>
          <w:color w:val="000000"/>
          <w:sz w:val="22"/>
          <w:szCs w:val="22"/>
          <w:lang w:eastAsia="en-US"/>
        </w:rPr>
        <w:t xml:space="preserve">Disposiciones que se derogan, subrogan, modifican, adicionan o desarrollan con el </w:t>
      </w:r>
      <w:r w:rsidRPr="4BCC527C">
        <w:rPr>
          <w:rFonts w:ascii="Arial Narrow" w:eastAsia="Arial Narrow" w:hAnsi="Arial Narrow" w:cs="Arial Narrow"/>
          <w:sz w:val="22"/>
          <w:szCs w:val="22"/>
          <w:lang w:val="es-ES"/>
        </w:rPr>
        <w:t>acto administrativo</w:t>
      </w:r>
      <w:r w:rsidRPr="4BCC527C">
        <w:rPr>
          <w:rFonts w:ascii="Arial Narrow" w:eastAsia="Arial Narrow" w:hAnsi="Arial Narrow" w:cs="Arial Narrow"/>
          <w:color w:val="000000"/>
          <w:sz w:val="22"/>
          <w:szCs w:val="22"/>
          <w:lang w:eastAsia="en-US"/>
        </w:rPr>
        <w:t>:</w:t>
      </w:r>
    </w:p>
    <w:p w14:paraId="193BC7FF" w14:textId="63C8DFC5" w:rsidR="00584CD6" w:rsidRDefault="00584CD6" w:rsidP="4BCC527C">
      <w:pPr>
        <w:jc w:val="both"/>
        <w:rPr>
          <w:rFonts w:ascii="Arial Narrow" w:eastAsia="Arial Narrow" w:hAnsi="Arial Narrow" w:cs="Arial Narrow"/>
          <w:sz w:val="22"/>
          <w:szCs w:val="22"/>
        </w:rPr>
      </w:pPr>
      <w:r w:rsidRPr="4BCC527C">
        <w:rPr>
          <w:rFonts w:ascii="Arial Narrow" w:eastAsia="Arial Narrow" w:hAnsi="Arial Narrow" w:cs="Arial Narrow"/>
          <w:sz w:val="22"/>
          <w:szCs w:val="22"/>
        </w:rPr>
        <w:t xml:space="preserve">El proyecto de </w:t>
      </w:r>
      <w:r w:rsidR="00154889" w:rsidRPr="4BCC527C">
        <w:rPr>
          <w:rFonts w:ascii="Arial Narrow" w:eastAsia="Arial Narrow" w:hAnsi="Arial Narrow" w:cs="Arial Narrow"/>
          <w:sz w:val="22"/>
          <w:szCs w:val="22"/>
        </w:rPr>
        <w:t xml:space="preserve">resolución </w:t>
      </w:r>
      <w:r w:rsidR="5441CDCE" w:rsidRPr="4BCC527C">
        <w:rPr>
          <w:rFonts w:ascii="Arial Narrow" w:eastAsia="Arial Narrow" w:hAnsi="Arial Narrow" w:cs="Arial Narrow"/>
          <w:sz w:val="22"/>
          <w:szCs w:val="22"/>
        </w:rPr>
        <w:t>modifica</w:t>
      </w:r>
      <w:r w:rsidR="00154889" w:rsidRPr="4BCC527C">
        <w:rPr>
          <w:rFonts w:ascii="Arial Narrow" w:eastAsia="Arial Narrow" w:hAnsi="Arial Narrow" w:cs="Arial Narrow"/>
          <w:sz w:val="22"/>
          <w:szCs w:val="22"/>
        </w:rPr>
        <w:t xml:space="preserve"> la Resolución 3160 de 2017.</w:t>
      </w:r>
    </w:p>
    <w:p w14:paraId="25745209" w14:textId="77777777" w:rsidR="00584CD6" w:rsidRDefault="00584CD6" w:rsidP="4BCC527C">
      <w:pPr>
        <w:jc w:val="both"/>
        <w:rPr>
          <w:rFonts w:ascii="Arial Narrow" w:eastAsia="Arial Narrow" w:hAnsi="Arial Narrow" w:cs="Arial Narrow"/>
          <w:sz w:val="22"/>
          <w:szCs w:val="22"/>
        </w:rPr>
      </w:pPr>
    </w:p>
    <w:p w14:paraId="01175372" w14:textId="2023230F" w:rsidR="00584CD6" w:rsidRDefault="00584CD6" w:rsidP="4BCC527C">
      <w:pPr>
        <w:ind w:left="708" w:hanging="708"/>
        <w:jc w:val="both"/>
        <w:rPr>
          <w:rFonts w:ascii="Arial Narrow" w:eastAsia="Arial Narrow" w:hAnsi="Arial Narrow" w:cs="Arial Narrow"/>
          <w:sz w:val="22"/>
          <w:szCs w:val="22"/>
        </w:rPr>
      </w:pPr>
      <w:r w:rsidRPr="4BCC527C">
        <w:rPr>
          <w:rFonts w:ascii="Arial Narrow" w:eastAsia="Arial Narrow" w:hAnsi="Arial Narrow" w:cs="Arial Narrow"/>
          <w:b/>
          <w:bCs/>
          <w:sz w:val="22"/>
          <w:szCs w:val="22"/>
        </w:rPr>
        <w:t>3.4.</w:t>
      </w:r>
      <w:r w:rsidR="622E4850" w:rsidRPr="4BCC527C">
        <w:rPr>
          <w:rFonts w:ascii="Arial Narrow" w:eastAsia="Arial Narrow" w:hAnsi="Arial Narrow" w:cs="Arial Narrow"/>
          <w:b/>
          <w:bCs/>
          <w:sz w:val="22"/>
          <w:szCs w:val="22"/>
        </w:rPr>
        <w:t xml:space="preserve"> </w:t>
      </w:r>
      <w:r>
        <w:rPr>
          <w:rFonts w:ascii="Arial Narrow" w:hAnsi="Arial Narrow" w:cs="Arial"/>
          <w:sz w:val="22"/>
          <w:szCs w:val="22"/>
        </w:rPr>
        <w:tab/>
      </w:r>
      <w:r w:rsidRPr="4BCC527C">
        <w:rPr>
          <w:rFonts w:ascii="Arial Narrow" w:eastAsia="Arial Narrow" w:hAnsi="Arial Narrow" w:cs="Arial Narrow"/>
          <w:sz w:val="22"/>
          <w:szCs w:val="22"/>
        </w:rPr>
        <w:t>Revisión y análisis de las decisiones judiciales de los órganos de cierre de cada jurisdicción que pueden</w:t>
      </w:r>
      <w:r w:rsidR="6759DD16" w:rsidRPr="4BCC527C">
        <w:rPr>
          <w:rFonts w:ascii="Arial Narrow" w:eastAsia="Arial Narrow" w:hAnsi="Arial Narrow" w:cs="Arial Narrow"/>
          <w:sz w:val="22"/>
          <w:szCs w:val="22"/>
        </w:rPr>
        <w:t xml:space="preserve"> </w:t>
      </w:r>
      <w:r w:rsidRPr="4BCC527C">
        <w:rPr>
          <w:rFonts w:ascii="Arial Narrow" w:eastAsia="Arial Narrow" w:hAnsi="Arial Narrow" w:cs="Arial Narrow"/>
          <w:sz w:val="22"/>
          <w:szCs w:val="22"/>
        </w:rPr>
        <w:t>tener impacto o ser relevantes para la expedición del acto:</w:t>
      </w:r>
    </w:p>
    <w:p w14:paraId="76E8DB82" w14:textId="77777777" w:rsidR="00584CD6" w:rsidRPr="006C0EF2" w:rsidRDefault="00584CD6" w:rsidP="4BCC527C">
      <w:pPr>
        <w:jc w:val="both"/>
        <w:rPr>
          <w:rFonts w:ascii="Arial Narrow" w:eastAsia="Arial Narrow" w:hAnsi="Arial Narrow" w:cs="Arial Narrow"/>
          <w:sz w:val="22"/>
          <w:szCs w:val="22"/>
        </w:rPr>
      </w:pPr>
    </w:p>
    <w:p w14:paraId="06FBC2CA" w14:textId="4A78BCB9" w:rsidR="00584CD6" w:rsidRPr="006C0EF2" w:rsidRDefault="00584CD6" w:rsidP="4BCC527C">
      <w:pPr>
        <w:jc w:val="both"/>
        <w:rPr>
          <w:rFonts w:ascii="Arial Narrow" w:eastAsia="Arial Narrow" w:hAnsi="Arial Narrow" w:cs="Arial Narrow"/>
          <w:sz w:val="22"/>
          <w:szCs w:val="22"/>
        </w:rPr>
      </w:pPr>
      <w:r w:rsidRPr="4BCC527C">
        <w:rPr>
          <w:rFonts w:ascii="Arial Narrow" w:eastAsia="Arial Narrow" w:hAnsi="Arial Narrow" w:cs="Arial Narrow"/>
          <w:sz w:val="22"/>
          <w:szCs w:val="22"/>
        </w:rPr>
        <w:lastRenderedPageBreak/>
        <w:t>A la fecha no hay precedentes jurisprudenciales que puedan tener impacto o ser relevantes para la expedición del acto</w:t>
      </w:r>
      <w:r w:rsidR="00154889" w:rsidRPr="4BCC527C">
        <w:rPr>
          <w:rFonts w:ascii="Arial Narrow" w:eastAsia="Arial Narrow" w:hAnsi="Arial Narrow" w:cs="Arial Narrow"/>
          <w:sz w:val="22"/>
          <w:szCs w:val="22"/>
        </w:rPr>
        <w:t>.</w:t>
      </w:r>
      <w:r w:rsidRPr="4BCC527C">
        <w:rPr>
          <w:rFonts w:ascii="Arial Narrow" w:eastAsia="Arial Narrow" w:hAnsi="Arial Narrow" w:cs="Arial Narrow"/>
          <w:sz w:val="22"/>
          <w:szCs w:val="22"/>
        </w:rPr>
        <w:t xml:space="preserve"> </w:t>
      </w:r>
    </w:p>
    <w:p w14:paraId="036C6381" w14:textId="77777777" w:rsidR="00584CD6" w:rsidRDefault="00584CD6" w:rsidP="4BCC527C">
      <w:pPr>
        <w:ind w:left="705" w:hanging="705"/>
        <w:jc w:val="both"/>
        <w:rPr>
          <w:rFonts w:ascii="Arial Narrow" w:eastAsia="Arial Narrow" w:hAnsi="Arial Narrow" w:cs="Arial Narrow"/>
          <w:b/>
          <w:bCs/>
          <w:sz w:val="22"/>
          <w:szCs w:val="22"/>
        </w:rPr>
      </w:pPr>
    </w:p>
    <w:p w14:paraId="7031EE1A" w14:textId="5E1643BC" w:rsidR="00584CD6" w:rsidRPr="00E45C6A" w:rsidRDefault="00584CD6" w:rsidP="4BCC527C">
      <w:pPr>
        <w:ind w:left="705" w:hanging="705"/>
        <w:jc w:val="both"/>
        <w:rPr>
          <w:rFonts w:ascii="Arial Narrow" w:eastAsia="Arial Narrow" w:hAnsi="Arial Narrow" w:cs="Arial Narrow"/>
          <w:sz w:val="22"/>
          <w:szCs w:val="22"/>
        </w:rPr>
      </w:pPr>
      <w:r w:rsidRPr="4BCC527C">
        <w:rPr>
          <w:rFonts w:ascii="Arial Narrow" w:eastAsia="Arial Narrow" w:hAnsi="Arial Narrow" w:cs="Arial Narrow"/>
          <w:b/>
          <w:bCs/>
          <w:sz w:val="22"/>
          <w:szCs w:val="22"/>
        </w:rPr>
        <w:t>3.5.</w:t>
      </w:r>
      <w:r w:rsidR="46825F90" w:rsidRPr="4BCC527C">
        <w:rPr>
          <w:rFonts w:ascii="Arial Narrow" w:eastAsia="Arial Narrow" w:hAnsi="Arial Narrow" w:cs="Arial Narrow"/>
          <w:b/>
          <w:bCs/>
          <w:sz w:val="22"/>
          <w:szCs w:val="22"/>
        </w:rPr>
        <w:t xml:space="preserve"> </w:t>
      </w:r>
      <w:r>
        <w:rPr>
          <w:rFonts w:ascii="Arial Narrow" w:hAnsi="Arial Narrow" w:cs="Arial"/>
          <w:sz w:val="22"/>
          <w:szCs w:val="22"/>
        </w:rPr>
        <w:tab/>
      </w:r>
      <w:r w:rsidRPr="4BCC527C">
        <w:rPr>
          <w:rFonts w:ascii="Arial Narrow" w:eastAsia="Arial Narrow" w:hAnsi="Arial Narrow" w:cs="Arial Narrow"/>
          <w:sz w:val="22"/>
          <w:szCs w:val="22"/>
        </w:rPr>
        <w:t>Advertencia de cualquier otra circunstancia jurídica que pueda ser relevante para la expedición del acto:</w:t>
      </w:r>
    </w:p>
    <w:p w14:paraId="28C821AA" w14:textId="19661EB6" w:rsidR="00584CD6" w:rsidRDefault="00584CD6" w:rsidP="4BCC527C">
      <w:pPr>
        <w:jc w:val="both"/>
        <w:rPr>
          <w:rFonts w:ascii="Arial Narrow" w:eastAsia="Arial Narrow" w:hAnsi="Arial Narrow" w:cs="Arial Narrow"/>
          <w:sz w:val="22"/>
          <w:szCs w:val="22"/>
        </w:rPr>
      </w:pPr>
    </w:p>
    <w:p w14:paraId="7DB4F0C0" w14:textId="61E7AAFE" w:rsidR="00346A5F" w:rsidRDefault="00346A5F" w:rsidP="4BCC527C">
      <w:pPr>
        <w:jc w:val="both"/>
        <w:rPr>
          <w:rFonts w:ascii="Arial Narrow" w:eastAsia="Arial Narrow" w:hAnsi="Arial Narrow" w:cs="Arial Narrow"/>
          <w:sz w:val="22"/>
          <w:szCs w:val="22"/>
        </w:rPr>
      </w:pPr>
      <w:r w:rsidRPr="4BCC527C">
        <w:rPr>
          <w:rFonts w:ascii="Arial Narrow" w:eastAsia="Arial Narrow" w:hAnsi="Arial Narrow" w:cs="Arial Narrow"/>
          <w:sz w:val="22"/>
          <w:szCs w:val="22"/>
        </w:rPr>
        <w:t xml:space="preserve">No </w:t>
      </w:r>
      <w:r w:rsidR="6D3DF7F9" w:rsidRPr="4BCC527C">
        <w:rPr>
          <w:rFonts w:ascii="Arial Narrow" w:eastAsia="Arial Narrow" w:hAnsi="Arial Narrow" w:cs="Arial Narrow"/>
          <w:sz w:val="22"/>
          <w:szCs w:val="22"/>
        </w:rPr>
        <w:t xml:space="preserve">se advierte ninguna otra circunstancia jurídica que pueda ser </w:t>
      </w:r>
      <w:r w:rsidR="44650C37" w:rsidRPr="4BCC527C">
        <w:rPr>
          <w:rFonts w:ascii="Arial Narrow" w:eastAsia="Arial Narrow" w:hAnsi="Arial Narrow" w:cs="Arial Narrow"/>
          <w:sz w:val="22"/>
          <w:szCs w:val="22"/>
        </w:rPr>
        <w:t>r</w:t>
      </w:r>
      <w:r w:rsidR="6D3DF7F9" w:rsidRPr="4BCC527C">
        <w:rPr>
          <w:rFonts w:ascii="Arial Narrow" w:eastAsia="Arial Narrow" w:hAnsi="Arial Narrow" w:cs="Arial Narrow"/>
          <w:sz w:val="22"/>
          <w:szCs w:val="22"/>
        </w:rPr>
        <w:t>elevante para la expedición del acto.</w:t>
      </w:r>
    </w:p>
    <w:p w14:paraId="01500C42" w14:textId="77777777" w:rsidR="00346A5F" w:rsidRDefault="00346A5F" w:rsidP="4BCC527C">
      <w:pPr>
        <w:jc w:val="both"/>
        <w:rPr>
          <w:rFonts w:ascii="Arial Narrow" w:eastAsia="Arial Narrow" w:hAnsi="Arial Narrow" w:cs="Arial Narrow"/>
          <w:sz w:val="22"/>
          <w:szCs w:val="22"/>
        </w:rPr>
      </w:pPr>
    </w:p>
    <w:p w14:paraId="20C04702" w14:textId="554413A2" w:rsidR="00584CD6" w:rsidRPr="001E42C9" w:rsidRDefault="00584CD6" w:rsidP="4BCC527C">
      <w:pPr>
        <w:jc w:val="both"/>
        <w:rPr>
          <w:rFonts w:ascii="Arial Narrow" w:eastAsia="Arial Narrow" w:hAnsi="Arial Narrow" w:cs="Arial Narrow"/>
          <w:b/>
          <w:bCs/>
          <w:sz w:val="22"/>
          <w:szCs w:val="22"/>
          <w:lang w:val="es-ES"/>
        </w:rPr>
      </w:pPr>
      <w:r w:rsidRPr="4BCC527C">
        <w:rPr>
          <w:rFonts w:ascii="Arial Narrow" w:eastAsia="Arial Narrow" w:hAnsi="Arial Narrow" w:cs="Arial Narrow"/>
          <w:b/>
          <w:bCs/>
          <w:sz w:val="22"/>
          <w:szCs w:val="22"/>
          <w:lang w:val="es-ES"/>
        </w:rPr>
        <w:t>4.</w:t>
      </w:r>
      <w:r w:rsidR="72D7E7AD" w:rsidRPr="4BCC527C">
        <w:rPr>
          <w:rFonts w:ascii="Arial Narrow" w:eastAsia="Arial Narrow" w:hAnsi="Arial Narrow" w:cs="Arial Narrow"/>
          <w:b/>
          <w:bCs/>
          <w:sz w:val="22"/>
          <w:szCs w:val="22"/>
          <w:lang w:val="es-ES"/>
        </w:rPr>
        <w:t xml:space="preserve"> </w:t>
      </w:r>
      <w:r>
        <w:rPr>
          <w:rFonts w:ascii="Arial Narrow" w:hAnsi="Arial Narrow" w:cs="Arial"/>
          <w:b/>
          <w:sz w:val="22"/>
          <w:szCs w:val="22"/>
          <w:lang w:val="es-ES_tradnl"/>
        </w:rPr>
        <w:tab/>
      </w:r>
      <w:r w:rsidRPr="4BCC527C">
        <w:rPr>
          <w:rFonts w:ascii="Arial Narrow" w:eastAsia="Arial Narrow" w:hAnsi="Arial Narrow" w:cs="Arial Narrow"/>
          <w:b/>
          <w:bCs/>
          <w:sz w:val="22"/>
          <w:szCs w:val="22"/>
          <w:lang w:val="es-ES"/>
        </w:rPr>
        <w:t>Estudio preliminar sobre posible impacto económico de la norma a expedir</w:t>
      </w:r>
    </w:p>
    <w:p w14:paraId="0B70DFD0" w14:textId="77777777" w:rsidR="00584CD6" w:rsidRPr="001E42C9" w:rsidRDefault="00584CD6" w:rsidP="4BCC527C">
      <w:pPr>
        <w:autoSpaceDE w:val="0"/>
        <w:autoSpaceDN w:val="0"/>
        <w:adjustRightInd w:val="0"/>
        <w:jc w:val="both"/>
        <w:rPr>
          <w:rFonts w:ascii="Arial Narrow" w:eastAsia="Arial Narrow" w:hAnsi="Arial Narrow" w:cs="Arial Narrow"/>
          <w:sz w:val="22"/>
          <w:szCs w:val="22"/>
        </w:rPr>
      </w:pPr>
    </w:p>
    <w:p w14:paraId="0446D800" w14:textId="419C4CC3" w:rsidR="00584CD6" w:rsidRDefault="00154889" w:rsidP="4BCC527C">
      <w:pPr>
        <w:autoSpaceDE w:val="0"/>
        <w:autoSpaceDN w:val="0"/>
        <w:adjustRightInd w:val="0"/>
        <w:jc w:val="both"/>
        <w:rPr>
          <w:rFonts w:ascii="Arial Narrow" w:eastAsia="Arial Narrow" w:hAnsi="Arial Narrow" w:cs="Arial Narrow"/>
          <w:sz w:val="22"/>
          <w:szCs w:val="22"/>
        </w:rPr>
      </w:pPr>
      <w:r w:rsidRPr="4BCC527C">
        <w:rPr>
          <w:rFonts w:ascii="Arial Narrow" w:eastAsia="Arial Narrow" w:hAnsi="Arial Narrow" w:cs="Arial Narrow"/>
          <w:sz w:val="22"/>
          <w:szCs w:val="22"/>
        </w:rPr>
        <w:t xml:space="preserve">Como se trata de un proyecto de resolución por el cual se </w:t>
      </w:r>
      <w:r w:rsidR="1AA4581E" w:rsidRPr="4BCC527C">
        <w:rPr>
          <w:rFonts w:ascii="Arial Narrow" w:eastAsia="Arial Narrow" w:hAnsi="Arial Narrow" w:cs="Arial Narrow"/>
          <w:sz w:val="22"/>
          <w:szCs w:val="22"/>
        </w:rPr>
        <w:t>modifica</w:t>
      </w:r>
      <w:r w:rsidRPr="4BCC527C">
        <w:rPr>
          <w:rFonts w:ascii="Arial Narrow" w:eastAsia="Arial Narrow" w:hAnsi="Arial Narrow" w:cs="Arial Narrow"/>
          <w:sz w:val="22"/>
          <w:szCs w:val="22"/>
        </w:rPr>
        <w:t xml:space="preserve"> la Resolución 3160 de 201</w:t>
      </w:r>
      <w:r w:rsidR="00945923" w:rsidRPr="4BCC527C">
        <w:rPr>
          <w:rFonts w:ascii="Arial Narrow" w:eastAsia="Arial Narrow" w:hAnsi="Arial Narrow" w:cs="Arial Narrow"/>
          <w:sz w:val="22"/>
          <w:szCs w:val="22"/>
        </w:rPr>
        <w:t>7 no se evidencia ningún impacto económico y ningún costo en su implementación.</w:t>
      </w:r>
    </w:p>
    <w:p w14:paraId="2CD93CA3" w14:textId="77777777" w:rsidR="00584CD6" w:rsidRDefault="00584CD6" w:rsidP="4BCC527C">
      <w:pPr>
        <w:autoSpaceDE w:val="0"/>
        <w:autoSpaceDN w:val="0"/>
        <w:adjustRightInd w:val="0"/>
        <w:jc w:val="both"/>
        <w:rPr>
          <w:rFonts w:ascii="Arial Narrow" w:eastAsia="Arial Narrow" w:hAnsi="Arial Narrow" w:cs="Arial Narrow"/>
          <w:sz w:val="22"/>
          <w:szCs w:val="22"/>
        </w:rPr>
      </w:pPr>
    </w:p>
    <w:p w14:paraId="05C6673D" w14:textId="2A655F1C" w:rsidR="00584CD6" w:rsidRDefault="00584CD6" w:rsidP="4BCC527C">
      <w:pPr>
        <w:autoSpaceDE w:val="0"/>
        <w:autoSpaceDN w:val="0"/>
        <w:adjustRightInd w:val="0"/>
        <w:jc w:val="both"/>
        <w:rPr>
          <w:rFonts w:ascii="Arial Narrow" w:eastAsia="Arial Narrow" w:hAnsi="Arial Narrow" w:cs="Arial Narrow"/>
          <w:b/>
          <w:bCs/>
          <w:sz w:val="22"/>
          <w:szCs w:val="22"/>
        </w:rPr>
      </w:pPr>
      <w:r w:rsidRPr="4BCC527C">
        <w:rPr>
          <w:rFonts w:ascii="Arial Narrow" w:eastAsia="Arial Narrow" w:hAnsi="Arial Narrow" w:cs="Arial Narrow"/>
          <w:b/>
          <w:bCs/>
          <w:sz w:val="22"/>
          <w:szCs w:val="22"/>
        </w:rPr>
        <w:t>5.</w:t>
      </w:r>
      <w:r w:rsidR="75B0F58D" w:rsidRPr="4BCC527C">
        <w:rPr>
          <w:rFonts w:ascii="Arial Narrow" w:eastAsia="Arial Narrow" w:hAnsi="Arial Narrow" w:cs="Arial Narrow"/>
          <w:b/>
          <w:bCs/>
          <w:sz w:val="22"/>
          <w:szCs w:val="22"/>
        </w:rPr>
        <w:t xml:space="preserve"> </w:t>
      </w:r>
      <w:r>
        <w:rPr>
          <w:rFonts w:ascii="Arial Narrow" w:hAnsi="Arial Narrow" w:cs="Arial"/>
          <w:b/>
          <w:bCs/>
          <w:sz w:val="22"/>
          <w:szCs w:val="22"/>
        </w:rPr>
        <w:tab/>
      </w:r>
      <w:r w:rsidRPr="4BCC527C">
        <w:rPr>
          <w:rFonts w:ascii="Arial Narrow" w:eastAsia="Arial Narrow" w:hAnsi="Arial Narrow" w:cs="Arial Narrow"/>
          <w:b/>
          <w:bCs/>
          <w:sz w:val="22"/>
          <w:szCs w:val="22"/>
        </w:rPr>
        <w:t>Disponibilidad presupuest</w:t>
      </w:r>
      <w:r w:rsidR="1C3ECDDF" w:rsidRPr="4BCC527C">
        <w:rPr>
          <w:rFonts w:ascii="Arial Narrow" w:eastAsia="Arial Narrow" w:hAnsi="Arial Narrow" w:cs="Arial Narrow"/>
          <w:b/>
          <w:bCs/>
          <w:sz w:val="22"/>
          <w:szCs w:val="22"/>
        </w:rPr>
        <w:t>al</w:t>
      </w:r>
    </w:p>
    <w:p w14:paraId="1535DDAE" w14:textId="1E21EF11" w:rsidR="00584CD6" w:rsidRDefault="00584CD6" w:rsidP="4BCC527C">
      <w:pPr>
        <w:autoSpaceDE w:val="0"/>
        <w:autoSpaceDN w:val="0"/>
        <w:adjustRightInd w:val="0"/>
        <w:jc w:val="both"/>
        <w:rPr>
          <w:rFonts w:ascii="Arial Narrow" w:eastAsia="Arial Narrow" w:hAnsi="Arial Narrow" w:cs="Arial Narrow"/>
          <w:sz w:val="22"/>
          <w:szCs w:val="22"/>
        </w:rPr>
      </w:pPr>
    </w:p>
    <w:p w14:paraId="4A0283EA" w14:textId="3B3346E0" w:rsidR="00584CD6" w:rsidRDefault="297A281D" w:rsidP="4BCC527C">
      <w:pPr>
        <w:autoSpaceDE w:val="0"/>
        <w:autoSpaceDN w:val="0"/>
        <w:adjustRightInd w:val="0"/>
        <w:jc w:val="both"/>
        <w:rPr>
          <w:rFonts w:ascii="Arial Narrow" w:eastAsia="Arial Narrow" w:hAnsi="Arial Narrow" w:cs="Arial Narrow"/>
          <w:sz w:val="22"/>
          <w:szCs w:val="22"/>
        </w:rPr>
      </w:pPr>
      <w:r w:rsidRPr="4BCC527C">
        <w:rPr>
          <w:rFonts w:ascii="Arial Narrow" w:eastAsia="Arial Narrow" w:hAnsi="Arial Narrow" w:cs="Arial Narrow"/>
          <w:sz w:val="22"/>
          <w:szCs w:val="22"/>
        </w:rPr>
        <w:t>E</w:t>
      </w:r>
      <w:r w:rsidR="3F3C7C3D" w:rsidRPr="4BCC527C">
        <w:rPr>
          <w:rFonts w:ascii="Arial Narrow" w:eastAsia="Arial Narrow" w:hAnsi="Arial Narrow" w:cs="Arial Narrow"/>
          <w:sz w:val="22"/>
          <w:szCs w:val="22"/>
        </w:rPr>
        <w:t>l</w:t>
      </w:r>
      <w:r w:rsidR="00945923" w:rsidRPr="4BCC527C">
        <w:rPr>
          <w:rFonts w:ascii="Arial Narrow" w:eastAsia="Arial Narrow" w:hAnsi="Arial Narrow" w:cs="Arial Narrow"/>
          <w:sz w:val="22"/>
          <w:szCs w:val="22"/>
        </w:rPr>
        <w:t xml:space="preserve"> proyecto de resolución por el cual se </w:t>
      </w:r>
      <w:r w:rsidR="69FB590E" w:rsidRPr="4BCC527C">
        <w:rPr>
          <w:rFonts w:ascii="Arial Narrow" w:eastAsia="Arial Narrow" w:hAnsi="Arial Narrow" w:cs="Arial Narrow"/>
          <w:sz w:val="22"/>
          <w:szCs w:val="22"/>
        </w:rPr>
        <w:t xml:space="preserve">modifica </w:t>
      </w:r>
      <w:r w:rsidR="00945923" w:rsidRPr="4BCC527C">
        <w:rPr>
          <w:rFonts w:ascii="Arial Narrow" w:eastAsia="Arial Narrow" w:hAnsi="Arial Narrow" w:cs="Arial Narrow"/>
          <w:sz w:val="22"/>
          <w:szCs w:val="22"/>
        </w:rPr>
        <w:t xml:space="preserve">la Resolución 3160 de 2017 no requiere de disponibilidad presupuestal. </w:t>
      </w:r>
    </w:p>
    <w:p w14:paraId="3D3A8838" w14:textId="2D4B259E" w:rsidR="001037F9" w:rsidRDefault="001037F9" w:rsidP="4BCC527C">
      <w:pPr>
        <w:autoSpaceDE w:val="0"/>
        <w:autoSpaceDN w:val="0"/>
        <w:adjustRightInd w:val="0"/>
        <w:jc w:val="both"/>
        <w:rPr>
          <w:rFonts w:ascii="Arial Narrow" w:eastAsia="Arial Narrow" w:hAnsi="Arial Narrow" w:cs="Arial Narrow"/>
          <w:b/>
          <w:bCs/>
          <w:sz w:val="22"/>
          <w:szCs w:val="22"/>
        </w:rPr>
      </w:pPr>
    </w:p>
    <w:p w14:paraId="684D4A87" w14:textId="5705FD04" w:rsidR="00584CD6" w:rsidRPr="001E42C9" w:rsidRDefault="00584CD6" w:rsidP="4BCC527C">
      <w:pPr>
        <w:autoSpaceDE w:val="0"/>
        <w:autoSpaceDN w:val="0"/>
        <w:adjustRightInd w:val="0"/>
        <w:ind w:left="705" w:hanging="705"/>
        <w:jc w:val="both"/>
        <w:rPr>
          <w:rFonts w:ascii="Arial Narrow" w:eastAsia="Arial Narrow" w:hAnsi="Arial Narrow" w:cs="Arial Narrow"/>
          <w:b/>
          <w:bCs/>
          <w:sz w:val="22"/>
          <w:szCs w:val="22"/>
        </w:rPr>
      </w:pPr>
      <w:r w:rsidRPr="4BCC527C">
        <w:rPr>
          <w:rFonts w:ascii="Arial Narrow" w:eastAsia="Arial Narrow" w:hAnsi="Arial Narrow" w:cs="Arial Narrow"/>
          <w:b/>
          <w:bCs/>
          <w:sz w:val="22"/>
          <w:szCs w:val="22"/>
        </w:rPr>
        <w:t>6.</w:t>
      </w:r>
      <w:r w:rsidR="4E34B9B8" w:rsidRPr="4BCC527C">
        <w:rPr>
          <w:rFonts w:ascii="Arial Narrow" w:eastAsia="Arial Narrow" w:hAnsi="Arial Narrow" w:cs="Arial Narrow"/>
          <w:b/>
          <w:bCs/>
          <w:sz w:val="22"/>
          <w:szCs w:val="22"/>
        </w:rPr>
        <w:t xml:space="preserve"> </w:t>
      </w:r>
      <w:r>
        <w:rPr>
          <w:rFonts w:ascii="Arial Narrow" w:hAnsi="Arial Narrow" w:cs="Arial"/>
          <w:b/>
          <w:bCs/>
          <w:sz w:val="22"/>
          <w:szCs w:val="22"/>
        </w:rPr>
        <w:tab/>
      </w:r>
      <w:r w:rsidRPr="4BCC527C">
        <w:rPr>
          <w:rFonts w:ascii="Arial Narrow" w:eastAsia="Arial Narrow" w:hAnsi="Arial Narrow" w:cs="Arial Narrow"/>
          <w:b/>
          <w:bCs/>
          <w:sz w:val="22"/>
          <w:szCs w:val="22"/>
          <w:lang w:val="es-ES"/>
        </w:rPr>
        <w:t>Estudio preliminar sobre posible impacto</w:t>
      </w:r>
      <w:r w:rsidRPr="4BCC527C">
        <w:rPr>
          <w:rFonts w:ascii="Arial Narrow" w:eastAsia="Arial Narrow" w:hAnsi="Arial Narrow" w:cs="Arial Narrow"/>
          <w:b/>
          <w:bCs/>
          <w:sz w:val="22"/>
          <w:szCs w:val="22"/>
        </w:rPr>
        <w:t xml:space="preserve"> medioambiental o sobre el patrimonio cultural de la Nación</w:t>
      </w:r>
    </w:p>
    <w:p w14:paraId="6F6787A3" w14:textId="77777777" w:rsidR="00584CD6" w:rsidRPr="008D3E1C" w:rsidRDefault="00584CD6" w:rsidP="4BCC527C">
      <w:pPr>
        <w:autoSpaceDE w:val="0"/>
        <w:autoSpaceDN w:val="0"/>
        <w:adjustRightInd w:val="0"/>
        <w:jc w:val="both"/>
        <w:rPr>
          <w:rFonts w:ascii="Arial Narrow" w:eastAsia="Arial Narrow" w:hAnsi="Arial Narrow" w:cs="Arial Narrow"/>
          <w:sz w:val="22"/>
          <w:szCs w:val="22"/>
          <w:highlight w:val="yellow"/>
        </w:rPr>
      </w:pPr>
    </w:p>
    <w:p w14:paraId="71CB5E31" w14:textId="0BF086BE" w:rsidR="00584CD6" w:rsidRPr="001E42C9" w:rsidRDefault="1D3CF1A0" w:rsidP="4BCC527C">
      <w:pPr>
        <w:autoSpaceDE w:val="0"/>
        <w:autoSpaceDN w:val="0"/>
        <w:adjustRightInd w:val="0"/>
        <w:jc w:val="both"/>
        <w:rPr>
          <w:rFonts w:ascii="Arial Narrow" w:eastAsia="Arial Narrow" w:hAnsi="Arial Narrow" w:cs="Arial Narrow"/>
          <w:sz w:val="22"/>
          <w:szCs w:val="22"/>
        </w:rPr>
      </w:pPr>
      <w:r w:rsidRPr="4BCC527C">
        <w:rPr>
          <w:rFonts w:ascii="Arial Narrow" w:eastAsia="Arial Narrow" w:hAnsi="Arial Narrow" w:cs="Arial Narrow"/>
          <w:sz w:val="22"/>
          <w:szCs w:val="22"/>
        </w:rPr>
        <w:t xml:space="preserve">El proyecto de resolución por el cual se modifica la Resolución 3160 de 2017 </w:t>
      </w:r>
      <w:r w:rsidR="00584CD6" w:rsidRPr="4BCC527C">
        <w:rPr>
          <w:rFonts w:ascii="Arial Narrow" w:eastAsia="Arial Narrow" w:hAnsi="Arial Narrow" w:cs="Arial Narrow"/>
          <w:sz w:val="22"/>
          <w:szCs w:val="22"/>
        </w:rPr>
        <w:t>no genera impacto medioambiental o sobre el patrimonio cultural de la Nación.</w:t>
      </w:r>
    </w:p>
    <w:p w14:paraId="1110321A" w14:textId="48CC51B9" w:rsidR="00584CD6" w:rsidRDefault="00584CD6" w:rsidP="4BCC527C">
      <w:pPr>
        <w:contextualSpacing/>
        <w:jc w:val="both"/>
        <w:rPr>
          <w:rFonts w:ascii="Arial Narrow" w:eastAsia="Arial Narrow" w:hAnsi="Arial Narrow" w:cs="Arial Narrow"/>
          <w:sz w:val="22"/>
          <w:szCs w:val="22"/>
        </w:rPr>
      </w:pPr>
    </w:p>
    <w:p w14:paraId="355ED07C" w14:textId="12B5F1D4" w:rsidR="00584CD6" w:rsidRPr="00945923" w:rsidRDefault="00584CD6" w:rsidP="4BCC527C">
      <w:pPr>
        <w:pStyle w:val="NormalWeb"/>
        <w:spacing w:before="0" w:beforeAutospacing="0" w:after="0" w:afterAutospacing="0"/>
        <w:jc w:val="both"/>
        <w:rPr>
          <w:rFonts w:ascii="Arial Narrow" w:eastAsia="Arial Narrow" w:hAnsi="Arial Narrow" w:cs="Arial Narrow"/>
          <w:b/>
          <w:bCs/>
          <w:sz w:val="22"/>
          <w:szCs w:val="22"/>
        </w:rPr>
      </w:pPr>
      <w:r w:rsidRPr="4BCC527C">
        <w:rPr>
          <w:rFonts w:ascii="Arial Narrow" w:eastAsia="Arial Narrow" w:hAnsi="Arial Narrow" w:cs="Arial Narrow"/>
          <w:b/>
          <w:bCs/>
          <w:sz w:val="22"/>
          <w:szCs w:val="22"/>
        </w:rPr>
        <w:t>7.</w:t>
      </w:r>
      <w:r w:rsidR="4358FF0E" w:rsidRPr="4BCC527C">
        <w:rPr>
          <w:rFonts w:ascii="Arial Narrow" w:eastAsia="Arial Narrow" w:hAnsi="Arial Narrow" w:cs="Arial Narrow"/>
          <w:b/>
          <w:bCs/>
          <w:sz w:val="22"/>
          <w:szCs w:val="22"/>
        </w:rPr>
        <w:t xml:space="preserve"> </w:t>
      </w:r>
      <w:r w:rsidRPr="00945923">
        <w:rPr>
          <w:rFonts w:ascii="Arial Narrow" w:hAnsi="Arial Narrow" w:cs="Arial"/>
          <w:b/>
          <w:sz w:val="22"/>
          <w:szCs w:val="22"/>
        </w:rPr>
        <w:tab/>
      </w:r>
      <w:r w:rsidRPr="4BCC527C">
        <w:rPr>
          <w:rFonts w:ascii="Arial Narrow" w:eastAsia="Arial Narrow" w:hAnsi="Arial Narrow" w:cs="Arial Narrow"/>
          <w:b/>
          <w:bCs/>
          <w:sz w:val="22"/>
          <w:szCs w:val="22"/>
        </w:rPr>
        <w:t>Manifestación de Impacto Regulatorio</w:t>
      </w:r>
    </w:p>
    <w:p w14:paraId="1170F200" w14:textId="77777777" w:rsidR="00584CD6" w:rsidRPr="002149A2" w:rsidRDefault="00584CD6" w:rsidP="4BCC527C">
      <w:pPr>
        <w:pStyle w:val="NormalWeb"/>
        <w:spacing w:before="0" w:beforeAutospacing="0" w:after="0" w:afterAutospacing="0"/>
        <w:jc w:val="both"/>
        <w:rPr>
          <w:rFonts w:ascii="Arial Narrow" w:eastAsia="Arial Narrow" w:hAnsi="Arial Narrow" w:cs="Arial Narrow"/>
          <w:sz w:val="22"/>
          <w:szCs w:val="22"/>
          <w:highlight w:val="yellow"/>
        </w:rPr>
      </w:pPr>
    </w:p>
    <w:p w14:paraId="6ECF681A" w14:textId="16BB67B1" w:rsidR="00455320" w:rsidRDefault="00945923" w:rsidP="4BCC527C">
      <w:pPr>
        <w:jc w:val="both"/>
        <w:rPr>
          <w:rFonts w:ascii="Arial Narrow" w:eastAsia="Arial Narrow" w:hAnsi="Arial Narrow" w:cs="Arial Narrow"/>
          <w:sz w:val="22"/>
          <w:szCs w:val="22"/>
          <w:lang w:val="es-ES"/>
        </w:rPr>
      </w:pPr>
      <w:r w:rsidRPr="4BCC527C">
        <w:rPr>
          <w:rFonts w:ascii="Arial Narrow" w:eastAsia="Arial Narrow" w:hAnsi="Arial Narrow" w:cs="Arial Narrow"/>
          <w:sz w:val="22"/>
          <w:szCs w:val="22"/>
        </w:rPr>
        <w:t xml:space="preserve">Como se trata de un proyecto de resolución por el cual se </w:t>
      </w:r>
      <w:r w:rsidR="4B49B6F8" w:rsidRPr="4BCC527C">
        <w:rPr>
          <w:rFonts w:ascii="Arial Narrow" w:eastAsia="Arial Narrow" w:hAnsi="Arial Narrow" w:cs="Arial Narrow"/>
          <w:sz w:val="22"/>
          <w:szCs w:val="22"/>
        </w:rPr>
        <w:t>modifica</w:t>
      </w:r>
      <w:r w:rsidRPr="4BCC527C">
        <w:rPr>
          <w:rFonts w:ascii="Arial Narrow" w:eastAsia="Arial Narrow" w:hAnsi="Arial Narrow" w:cs="Arial Narrow"/>
          <w:sz w:val="22"/>
          <w:szCs w:val="22"/>
        </w:rPr>
        <w:t xml:space="preserve"> la Resolución 3160 de 2017, no se evidencia ningún impacto </w:t>
      </w:r>
      <w:r w:rsidR="3C1AF847" w:rsidRPr="4BCC527C">
        <w:rPr>
          <w:rFonts w:ascii="Arial Narrow" w:eastAsia="Arial Narrow" w:hAnsi="Arial Narrow" w:cs="Arial Narrow"/>
          <w:sz w:val="22"/>
          <w:szCs w:val="22"/>
        </w:rPr>
        <w:t xml:space="preserve">regulatorio. </w:t>
      </w:r>
    </w:p>
    <w:p w14:paraId="75F1078D" w14:textId="098890D5" w:rsidR="00946CAD" w:rsidRDefault="00946CAD" w:rsidP="4BCC527C">
      <w:pPr>
        <w:jc w:val="both"/>
        <w:rPr>
          <w:rFonts w:ascii="Arial Narrow" w:eastAsia="Arial Narrow" w:hAnsi="Arial Narrow" w:cs="Arial Narrow"/>
          <w:b/>
          <w:bCs/>
          <w:color w:val="000000"/>
          <w:sz w:val="22"/>
          <w:szCs w:val="22"/>
        </w:rPr>
      </w:pPr>
    </w:p>
    <w:p w14:paraId="5728EF9A" w14:textId="587CD7F0" w:rsidR="001037F9" w:rsidRDefault="001037F9" w:rsidP="4BCC527C">
      <w:pPr>
        <w:jc w:val="both"/>
        <w:rPr>
          <w:rFonts w:ascii="Arial Narrow" w:eastAsia="Arial Narrow" w:hAnsi="Arial Narrow" w:cs="Arial Narrow"/>
          <w:b/>
          <w:bCs/>
          <w:color w:val="000000"/>
          <w:sz w:val="22"/>
          <w:szCs w:val="22"/>
        </w:rPr>
      </w:pPr>
    </w:p>
    <w:p w14:paraId="4874E8BB" w14:textId="77777777" w:rsidR="001037F9" w:rsidRDefault="001037F9" w:rsidP="4BCC527C">
      <w:pPr>
        <w:jc w:val="both"/>
        <w:rPr>
          <w:rFonts w:ascii="Arial Narrow" w:eastAsia="Arial Narrow" w:hAnsi="Arial Narrow" w:cs="Arial Narrow"/>
          <w:b/>
          <w:bCs/>
          <w:color w:val="000000"/>
          <w:sz w:val="22"/>
          <w:szCs w:val="22"/>
        </w:rPr>
      </w:pPr>
    </w:p>
    <w:p w14:paraId="3ABBAD53" w14:textId="36614357" w:rsidR="00946CAD" w:rsidRDefault="00945923" w:rsidP="4BCC527C">
      <w:pPr>
        <w:pStyle w:val="NormalWeb"/>
        <w:spacing w:before="0" w:beforeAutospacing="0" w:after="0" w:afterAutospacing="0"/>
        <w:jc w:val="both"/>
        <w:rPr>
          <w:rFonts w:ascii="Arial Narrow" w:eastAsia="Arial Narrow" w:hAnsi="Arial Narrow" w:cs="Arial Narrow"/>
          <w:b/>
          <w:bCs/>
          <w:sz w:val="22"/>
          <w:szCs w:val="22"/>
        </w:rPr>
      </w:pPr>
      <w:r w:rsidRPr="4BCC527C">
        <w:rPr>
          <w:rFonts w:ascii="Arial Narrow" w:eastAsia="Arial Narrow" w:hAnsi="Arial Narrow" w:cs="Arial Narrow"/>
          <w:b/>
          <w:bCs/>
          <w:sz w:val="22"/>
          <w:szCs w:val="22"/>
        </w:rPr>
        <w:t>IVÁN ANTONIO MANTILLA GAVIRIA</w:t>
      </w:r>
    </w:p>
    <w:p w14:paraId="4CF521CB" w14:textId="1A3DFCBF" w:rsidR="00946CAD" w:rsidRPr="001E42C9" w:rsidRDefault="00945923" w:rsidP="4BCC527C">
      <w:pPr>
        <w:pStyle w:val="NormalWeb"/>
        <w:spacing w:before="0" w:beforeAutospacing="0" w:after="0" w:afterAutospacing="0"/>
        <w:jc w:val="both"/>
        <w:rPr>
          <w:rFonts w:ascii="Arial Narrow" w:eastAsia="Arial Narrow" w:hAnsi="Arial Narrow" w:cs="Arial Narrow"/>
          <w:sz w:val="22"/>
          <w:szCs w:val="22"/>
        </w:rPr>
      </w:pPr>
      <w:r w:rsidRPr="4BCC527C">
        <w:rPr>
          <w:rFonts w:ascii="Arial Narrow" w:eastAsia="Arial Narrow" w:hAnsi="Arial Narrow" w:cs="Arial Narrow"/>
          <w:sz w:val="22"/>
          <w:szCs w:val="22"/>
        </w:rPr>
        <w:t>Viceministro de Conectividad y Digitalización</w:t>
      </w:r>
      <w:r w:rsidR="00946CAD" w:rsidRPr="4BCC527C">
        <w:rPr>
          <w:rFonts w:ascii="Arial Narrow" w:eastAsia="Arial Narrow" w:hAnsi="Arial Narrow" w:cs="Arial Narrow"/>
          <w:sz w:val="22"/>
          <w:szCs w:val="22"/>
        </w:rPr>
        <w:t xml:space="preserve"> </w:t>
      </w:r>
    </w:p>
    <w:p w14:paraId="731E3E03" w14:textId="77777777" w:rsidR="00946CAD" w:rsidRPr="001E42C9" w:rsidRDefault="00946CAD" w:rsidP="4BCC527C">
      <w:pPr>
        <w:pStyle w:val="NormalWeb"/>
        <w:spacing w:before="0" w:beforeAutospacing="0" w:after="0" w:afterAutospacing="0"/>
        <w:jc w:val="both"/>
        <w:rPr>
          <w:rFonts w:ascii="Arial Narrow" w:eastAsia="Arial Narrow" w:hAnsi="Arial Narrow" w:cs="Arial Narrow"/>
          <w:sz w:val="22"/>
          <w:szCs w:val="22"/>
        </w:rPr>
      </w:pPr>
    </w:p>
    <w:p w14:paraId="6A3DEE0D" w14:textId="77777777" w:rsidR="00946CAD" w:rsidRDefault="00946CAD" w:rsidP="4BCC527C">
      <w:pPr>
        <w:pStyle w:val="NormalWeb"/>
        <w:spacing w:before="0" w:beforeAutospacing="0" w:after="0" w:afterAutospacing="0"/>
        <w:jc w:val="both"/>
        <w:rPr>
          <w:rFonts w:ascii="Arial Narrow" w:eastAsia="Arial Narrow" w:hAnsi="Arial Narrow" w:cs="Arial Narrow"/>
          <w:sz w:val="22"/>
          <w:szCs w:val="22"/>
        </w:rPr>
      </w:pPr>
    </w:p>
    <w:p w14:paraId="5959333F" w14:textId="77777777" w:rsidR="00946CAD" w:rsidRPr="001E42C9" w:rsidRDefault="00946CAD" w:rsidP="4BCC527C">
      <w:pPr>
        <w:pStyle w:val="NormalWeb"/>
        <w:spacing w:before="0" w:beforeAutospacing="0" w:after="0" w:afterAutospacing="0"/>
        <w:jc w:val="both"/>
        <w:rPr>
          <w:rFonts w:ascii="Arial Narrow" w:eastAsia="Arial Narrow" w:hAnsi="Arial Narrow" w:cs="Arial Narrow"/>
          <w:sz w:val="16"/>
          <w:szCs w:val="16"/>
        </w:rPr>
      </w:pPr>
      <w:bookmarkStart w:id="0" w:name="_GoBack"/>
      <w:bookmarkEnd w:id="0"/>
    </w:p>
    <w:p w14:paraId="4E0FDBD7" w14:textId="0D7FCBFB" w:rsidR="00946CAD" w:rsidRPr="001E42C9" w:rsidRDefault="00946CAD" w:rsidP="4BCC527C">
      <w:pPr>
        <w:pStyle w:val="NormalWeb"/>
        <w:spacing w:before="0" w:beforeAutospacing="0" w:after="0" w:afterAutospacing="0"/>
        <w:jc w:val="both"/>
        <w:rPr>
          <w:rFonts w:ascii="Arial Narrow" w:eastAsia="Arial Narrow" w:hAnsi="Arial Narrow" w:cs="Arial Narrow"/>
          <w:sz w:val="16"/>
          <w:szCs w:val="16"/>
        </w:rPr>
      </w:pPr>
      <w:r w:rsidRPr="4BCC527C">
        <w:rPr>
          <w:rFonts w:ascii="Arial Narrow" w:eastAsia="Arial Narrow" w:hAnsi="Arial Narrow" w:cs="Arial Narrow"/>
          <w:sz w:val="16"/>
          <w:szCs w:val="16"/>
        </w:rPr>
        <w:t xml:space="preserve">Elaboró: </w:t>
      </w:r>
      <w:r w:rsidRPr="001E42C9">
        <w:rPr>
          <w:rFonts w:ascii="Arial Narrow" w:hAnsi="Arial Narrow" w:cs="Arial"/>
          <w:sz w:val="16"/>
          <w:szCs w:val="16"/>
        </w:rPr>
        <w:tab/>
      </w:r>
      <w:r w:rsidR="00945923" w:rsidRPr="4BCC527C">
        <w:rPr>
          <w:rFonts w:ascii="Arial Narrow" w:eastAsia="Arial Narrow" w:hAnsi="Arial Narrow" w:cs="Arial Narrow"/>
          <w:sz w:val="16"/>
          <w:szCs w:val="16"/>
        </w:rPr>
        <w:t>Gloria Liliana Calderón Cruz</w:t>
      </w:r>
    </w:p>
    <w:p w14:paraId="5171ACC8" w14:textId="77777777" w:rsidR="00946CAD" w:rsidRDefault="00946CAD" w:rsidP="4BCC527C">
      <w:pPr>
        <w:pStyle w:val="NormalWeb"/>
        <w:spacing w:before="0" w:beforeAutospacing="0" w:after="0" w:afterAutospacing="0"/>
        <w:jc w:val="both"/>
        <w:rPr>
          <w:rFonts w:ascii="Arial Narrow" w:eastAsia="Arial Narrow" w:hAnsi="Arial Narrow" w:cs="Arial Narrow"/>
          <w:sz w:val="16"/>
          <w:szCs w:val="16"/>
        </w:rPr>
      </w:pPr>
    </w:p>
    <w:p w14:paraId="10FE6128" w14:textId="350FAC3D" w:rsidR="00946CAD" w:rsidRPr="001E42C9" w:rsidRDefault="00946CAD" w:rsidP="4BCC527C">
      <w:pPr>
        <w:jc w:val="both"/>
        <w:rPr>
          <w:rFonts w:ascii="Arial Narrow" w:eastAsia="Arial Narrow" w:hAnsi="Arial Narrow" w:cs="Arial Narrow"/>
          <w:b/>
          <w:bCs/>
          <w:color w:val="000000"/>
          <w:sz w:val="22"/>
          <w:szCs w:val="22"/>
        </w:rPr>
      </w:pPr>
    </w:p>
    <w:sectPr w:rsidR="00946CAD" w:rsidRPr="001E42C9">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B6B32" w14:textId="77777777" w:rsidR="007D5F32" w:rsidRDefault="007D5F32" w:rsidP="001C31D5">
      <w:r>
        <w:separator/>
      </w:r>
    </w:p>
  </w:endnote>
  <w:endnote w:type="continuationSeparator" w:id="0">
    <w:p w14:paraId="537E7EEF" w14:textId="77777777" w:rsidR="007D5F32" w:rsidRDefault="007D5F32" w:rsidP="001C31D5">
      <w:r>
        <w:continuationSeparator/>
      </w:r>
    </w:p>
  </w:endnote>
  <w:endnote w:type="continuationNotice" w:id="1">
    <w:p w14:paraId="27A943F8" w14:textId="77777777" w:rsidR="007D5F32" w:rsidRDefault="007D5F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74BF3DC4" w14:textId="77777777" w:rsidR="007C7CBF" w:rsidRDefault="007C7CBF" w:rsidP="00CB061F">
            <w:pPr>
              <w:pStyle w:val="Piedepgina"/>
              <w:rPr>
                <w:rFonts w:ascii="Arial Narrow" w:hAnsi="Arial Narrow"/>
                <w:sz w:val="16"/>
                <w:szCs w:val="16"/>
              </w:rPr>
            </w:pPr>
          </w:p>
          <w:p w14:paraId="67B18DE0" w14:textId="01323B0B" w:rsidR="007C7CBF" w:rsidRDefault="007C7CBF"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t>GJU-TIC-FM-010</w:t>
            </w:r>
          </w:p>
          <w:p w14:paraId="219CA604" w14:textId="77777777" w:rsidR="007C7CBF" w:rsidRPr="00374DDE" w:rsidRDefault="007C7CB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1199A08D" w14:textId="77777777" w:rsidR="007C7CBF" w:rsidRDefault="007C7C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6B54E" w14:textId="77777777" w:rsidR="007D5F32" w:rsidRDefault="007D5F32" w:rsidP="001C31D5">
      <w:r>
        <w:separator/>
      </w:r>
    </w:p>
  </w:footnote>
  <w:footnote w:type="continuationSeparator" w:id="0">
    <w:p w14:paraId="1C049F51" w14:textId="77777777" w:rsidR="007D5F32" w:rsidRDefault="007D5F32" w:rsidP="001C31D5">
      <w:r>
        <w:continuationSeparator/>
      </w:r>
    </w:p>
  </w:footnote>
  <w:footnote w:type="continuationNotice" w:id="1">
    <w:p w14:paraId="2FFF61EF" w14:textId="77777777" w:rsidR="007D5F32" w:rsidRDefault="007D5F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259"/>
    </w:tblGrid>
    <w:tr w:rsidR="007C7CBF" w:rsidRPr="00384075" w14:paraId="29472F42" w14:textId="77777777" w:rsidTr="4BCC527C">
      <w:trPr>
        <w:trHeight w:val="565"/>
        <w:jc w:val="center"/>
      </w:trPr>
      <w:tc>
        <w:tcPr>
          <w:tcW w:w="9889" w:type="dxa"/>
          <w:vAlign w:val="center"/>
        </w:tcPr>
        <w:p w14:paraId="5F64F310" w14:textId="77777777" w:rsidR="007C7CBF" w:rsidRPr="00384075" w:rsidRDefault="007C7CBF"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7C7CBF" w14:paraId="30C77FDE" w14:textId="77777777" w:rsidTr="4BCC527C">
            <w:trPr>
              <w:trHeight w:val="1275"/>
            </w:trPr>
            <w:tc>
              <w:tcPr>
                <w:tcW w:w="2183" w:type="dxa"/>
                <w:vAlign w:val="center"/>
              </w:tcPr>
              <w:p w14:paraId="3ECD9C75" w14:textId="77777777" w:rsidR="007C7CBF" w:rsidRDefault="007C7CBF" w:rsidP="00282E9D">
                <w:pPr>
                  <w:pStyle w:val="Encabezado"/>
                  <w:jc w:val="center"/>
                </w:pPr>
                <w:r>
                  <w:rPr>
                    <w:noProof/>
                    <w:lang w:val="es-CO" w:eastAsia="es-CO"/>
                  </w:rPr>
                  <w:drawing>
                    <wp:anchor distT="0" distB="0" distL="114300" distR="114300" simplePos="0" relativeHeight="251658240" behindDoc="0" locked="0" layoutInCell="1" allowOverlap="1" wp14:anchorId="00BCB176" wp14:editId="61F0A5AD">
                      <wp:simplePos x="0" y="0"/>
                      <wp:positionH relativeFrom="column">
                        <wp:posOffset>29210</wp:posOffset>
                      </wp:positionH>
                      <wp:positionV relativeFrom="paragraph">
                        <wp:posOffset>-469900</wp:posOffset>
                      </wp:positionV>
                      <wp:extent cx="2251075" cy="5778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14:paraId="70F800B4" w14:textId="77777777" w:rsidR="007C7CBF" w:rsidRPr="00B924CA" w:rsidRDefault="007C7CBF" w:rsidP="00282E9D">
                <w:pPr>
                  <w:jc w:val="center"/>
                  <w:rPr>
                    <w:rFonts w:ascii="Arial Narrow" w:hAnsi="Arial Narrow"/>
                  </w:rPr>
                </w:pPr>
                <w:r>
                  <w:rPr>
                    <w:rFonts w:ascii="Arial Narrow" w:hAnsi="Arial Narrow"/>
                  </w:rPr>
                  <w:t>SOPORTE TÉCNICO</w:t>
                </w:r>
              </w:p>
            </w:tc>
            <w:tc>
              <w:tcPr>
                <w:tcW w:w="1586" w:type="dxa"/>
                <w:vAlign w:val="center"/>
              </w:tcPr>
              <w:p w14:paraId="753FEF2D" w14:textId="77777777" w:rsidR="007C7CBF" w:rsidRDefault="007C7CBF" w:rsidP="00282E9D">
                <w:pPr>
                  <w:pStyle w:val="Encabezado"/>
                  <w:jc w:val="center"/>
                </w:pPr>
                <w:r w:rsidRPr="004161E7">
                  <w:rPr>
                    <w:noProof/>
                    <w:lang w:val="es-CO" w:eastAsia="es-CO"/>
                  </w:rPr>
                  <w:drawing>
                    <wp:inline distT="0" distB="0" distL="0" distR="0" wp14:anchorId="6810C553" wp14:editId="666EE089">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813E7D" w14:textId="77777777" w:rsidR="007C7CBF" w:rsidRPr="00384075" w:rsidRDefault="007C7CBF" w:rsidP="009320D2">
          <w:pPr>
            <w:pStyle w:val="Estilo2"/>
            <w:numPr>
              <w:ilvl w:val="0"/>
              <w:numId w:val="0"/>
            </w:numPr>
            <w:ind w:left="360"/>
            <w:jc w:val="right"/>
            <w:rPr>
              <w:rFonts w:ascii="Arial" w:hAnsi="Arial" w:cs="Arial"/>
            </w:rPr>
          </w:pPr>
        </w:p>
      </w:tc>
    </w:tr>
  </w:tbl>
  <w:p w14:paraId="2AECB58B" w14:textId="77777777" w:rsidR="007C7CBF" w:rsidRPr="00874DE8" w:rsidRDefault="007C7CBF"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7811DB3"/>
    <w:multiLevelType w:val="multilevel"/>
    <w:tmpl w:val="0C0A001F"/>
    <w:numStyleLink w:val="Estilo1"/>
  </w:abstractNum>
  <w:abstractNum w:abstractNumId="20"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1"/>
  </w:num>
  <w:num w:numId="5">
    <w:abstractNumId w:val="13"/>
  </w:num>
  <w:num w:numId="6">
    <w:abstractNumId w:val="5"/>
  </w:num>
  <w:num w:numId="7">
    <w:abstractNumId w:val="3"/>
  </w:num>
  <w:num w:numId="8">
    <w:abstractNumId w:val="7"/>
  </w:num>
  <w:num w:numId="9">
    <w:abstractNumId w:val="22"/>
  </w:num>
  <w:num w:numId="10">
    <w:abstractNumId w:val="23"/>
  </w:num>
  <w:num w:numId="11">
    <w:abstractNumId w:val="10"/>
  </w:num>
  <w:num w:numId="12">
    <w:abstractNumId w:va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num>
  <w:num w:numId="17">
    <w:abstractNumId w:val="2"/>
  </w:num>
  <w:num w:numId="18">
    <w:abstractNumId w:val="4"/>
  </w:num>
  <w:num w:numId="19">
    <w:abstractNumId w:val="25"/>
  </w:num>
  <w:num w:numId="20">
    <w:abstractNumId w:val="11"/>
  </w:num>
  <w:num w:numId="21">
    <w:abstractNumId w:val="24"/>
  </w:num>
  <w:num w:numId="22">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7"/>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06085"/>
    <w:rsid w:val="0000738B"/>
    <w:rsid w:val="000120CA"/>
    <w:rsid w:val="0001689A"/>
    <w:rsid w:val="00021C86"/>
    <w:rsid w:val="00024ED9"/>
    <w:rsid w:val="000273A7"/>
    <w:rsid w:val="0003154E"/>
    <w:rsid w:val="00032BAD"/>
    <w:rsid w:val="000401A2"/>
    <w:rsid w:val="000427CC"/>
    <w:rsid w:val="0004302A"/>
    <w:rsid w:val="0004629C"/>
    <w:rsid w:val="00046747"/>
    <w:rsid w:val="00054427"/>
    <w:rsid w:val="000608B6"/>
    <w:rsid w:val="0006278E"/>
    <w:rsid w:val="0006775E"/>
    <w:rsid w:val="00077BE8"/>
    <w:rsid w:val="00080C96"/>
    <w:rsid w:val="0008272E"/>
    <w:rsid w:val="000875DA"/>
    <w:rsid w:val="0009167E"/>
    <w:rsid w:val="00092248"/>
    <w:rsid w:val="000A39C2"/>
    <w:rsid w:val="000B6016"/>
    <w:rsid w:val="000B7E58"/>
    <w:rsid w:val="000C0C67"/>
    <w:rsid w:val="000C0EF5"/>
    <w:rsid w:val="000C0FAE"/>
    <w:rsid w:val="000C1429"/>
    <w:rsid w:val="000C5D78"/>
    <w:rsid w:val="000D0767"/>
    <w:rsid w:val="000D0A08"/>
    <w:rsid w:val="000E1562"/>
    <w:rsid w:val="001004BB"/>
    <w:rsid w:val="001015D4"/>
    <w:rsid w:val="001037F9"/>
    <w:rsid w:val="00107C29"/>
    <w:rsid w:val="001117EE"/>
    <w:rsid w:val="00112DEF"/>
    <w:rsid w:val="00116683"/>
    <w:rsid w:val="00116D73"/>
    <w:rsid w:val="001248E7"/>
    <w:rsid w:val="00127B40"/>
    <w:rsid w:val="00132DB9"/>
    <w:rsid w:val="0013318A"/>
    <w:rsid w:val="00137878"/>
    <w:rsid w:val="00145A25"/>
    <w:rsid w:val="0014615D"/>
    <w:rsid w:val="00153619"/>
    <w:rsid w:val="00154889"/>
    <w:rsid w:val="001549E2"/>
    <w:rsid w:val="00156622"/>
    <w:rsid w:val="0015786D"/>
    <w:rsid w:val="0016385A"/>
    <w:rsid w:val="00166506"/>
    <w:rsid w:val="001735FB"/>
    <w:rsid w:val="00175AB9"/>
    <w:rsid w:val="001901F2"/>
    <w:rsid w:val="00194B79"/>
    <w:rsid w:val="001A20FC"/>
    <w:rsid w:val="001A5BB4"/>
    <w:rsid w:val="001B18A5"/>
    <w:rsid w:val="001B5B9B"/>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4BE5"/>
    <w:rsid w:val="0021700F"/>
    <w:rsid w:val="002213F4"/>
    <w:rsid w:val="00233523"/>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D7FB8"/>
    <w:rsid w:val="002E02E0"/>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635F"/>
    <w:rsid w:val="00336A51"/>
    <w:rsid w:val="00337724"/>
    <w:rsid w:val="0034181D"/>
    <w:rsid w:val="003428A6"/>
    <w:rsid w:val="00346A5F"/>
    <w:rsid w:val="00350A0A"/>
    <w:rsid w:val="00350EDB"/>
    <w:rsid w:val="00351B59"/>
    <w:rsid w:val="00354B2A"/>
    <w:rsid w:val="00355222"/>
    <w:rsid w:val="00355D96"/>
    <w:rsid w:val="0035653E"/>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20F6"/>
    <w:rsid w:val="003D45A4"/>
    <w:rsid w:val="003D50ED"/>
    <w:rsid w:val="003D7BD6"/>
    <w:rsid w:val="003E79D4"/>
    <w:rsid w:val="003F264E"/>
    <w:rsid w:val="00401BA5"/>
    <w:rsid w:val="00405AB0"/>
    <w:rsid w:val="004125D5"/>
    <w:rsid w:val="00412DB2"/>
    <w:rsid w:val="004156EA"/>
    <w:rsid w:val="004168B7"/>
    <w:rsid w:val="004207CA"/>
    <w:rsid w:val="00422BC6"/>
    <w:rsid w:val="00427037"/>
    <w:rsid w:val="00427232"/>
    <w:rsid w:val="00427F4B"/>
    <w:rsid w:val="00430770"/>
    <w:rsid w:val="00431C52"/>
    <w:rsid w:val="004352FB"/>
    <w:rsid w:val="00440ADD"/>
    <w:rsid w:val="00452299"/>
    <w:rsid w:val="00455320"/>
    <w:rsid w:val="0045740E"/>
    <w:rsid w:val="00461A98"/>
    <w:rsid w:val="00466896"/>
    <w:rsid w:val="0047246C"/>
    <w:rsid w:val="0047247E"/>
    <w:rsid w:val="004821B1"/>
    <w:rsid w:val="00484BE0"/>
    <w:rsid w:val="0048716A"/>
    <w:rsid w:val="0048734C"/>
    <w:rsid w:val="00491171"/>
    <w:rsid w:val="00493D34"/>
    <w:rsid w:val="004958F3"/>
    <w:rsid w:val="004B7188"/>
    <w:rsid w:val="004C6AD7"/>
    <w:rsid w:val="004C6F8E"/>
    <w:rsid w:val="004D058F"/>
    <w:rsid w:val="004D76BE"/>
    <w:rsid w:val="004F00EB"/>
    <w:rsid w:val="004F02E8"/>
    <w:rsid w:val="004F37DF"/>
    <w:rsid w:val="004F682A"/>
    <w:rsid w:val="004F6933"/>
    <w:rsid w:val="0050295C"/>
    <w:rsid w:val="005071A1"/>
    <w:rsid w:val="0051216F"/>
    <w:rsid w:val="00513E59"/>
    <w:rsid w:val="00522088"/>
    <w:rsid w:val="00530D64"/>
    <w:rsid w:val="00535C61"/>
    <w:rsid w:val="00541183"/>
    <w:rsid w:val="00543916"/>
    <w:rsid w:val="005451D9"/>
    <w:rsid w:val="00551441"/>
    <w:rsid w:val="00554CD6"/>
    <w:rsid w:val="00557059"/>
    <w:rsid w:val="00566B9B"/>
    <w:rsid w:val="00566E67"/>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705A02"/>
    <w:rsid w:val="00723936"/>
    <w:rsid w:val="00726CF3"/>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94273"/>
    <w:rsid w:val="007A2F5C"/>
    <w:rsid w:val="007A30D7"/>
    <w:rsid w:val="007A550B"/>
    <w:rsid w:val="007A6819"/>
    <w:rsid w:val="007B07D3"/>
    <w:rsid w:val="007B235B"/>
    <w:rsid w:val="007B44E6"/>
    <w:rsid w:val="007B5737"/>
    <w:rsid w:val="007B6B07"/>
    <w:rsid w:val="007C7CBF"/>
    <w:rsid w:val="007D3C2F"/>
    <w:rsid w:val="007D50F2"/>
    <w:rsid w:val="007D5F32"/>
    <w:rsid w:val="007E3076"/>
    <w:rsid w:val="007E5F98"/>
    <w:rsid w:val="007E6370"/>
    <w:rsid w:val="007F535C"/>
    <w:rsid w:val="008014A7"/>
    <w:rsid w:val="008053BB"/>
    <w:rsid w:val="008064B1"/>
    <w:rsid w:val="00813742"/>
    <w:rsid w:val="00815637"/>
    <w:rsid w:val="00816419"/>
    <w:rsid w:val="00821CFA"/>
    <w:rsid w:val="008221E4"/>
    <w:rsid w:val="00833FCC"/>
    <w:rsid w:val="00841BBA"/>
    <w:rsid w:val="00846F21"/>
    <w:rsid w:val="0085318E"/>
    <w:rsid w:val="00853A13"/>
    <w:rsid w:val="00857B6D"/>
    <w:rsid w:val="008678F9"/>
    <w:rsid w:val="00874071"/>
    <w:rsid w:val="00874DE8"/>
    <w:rsid w:val="008833CB"/>
    <w:rsid w:val="00890CC3"/>
    <w:rsid w:val="008938CD"/>
    <w:rsid w:val="008A2F81"/>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0321"/>
    <w:rsid w:val="009320D2"/>
    <w:rsid w:val="00935D5B"/>
    <w:rsid w:val="00940CB0"/>
    <w:rsid w:val="00942F6C"/>
    <w:rsid w:val="00945923"/>
    <w:rsid w:val="00946CAD"/>
    <w:rsid w:val="00963170"/>
    <w:rsid w:val="0096517E"/>
    <w:rsid w:val="00975F46"/>
    <w:rsid w:val="00980FF9"/>
    <w:rsid w:val="009836B2"/>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C6135"/>
    <w:rsid w:val="009D1616"/>
    <w:rsid w:val="009D7CC2"/>
    <w:rsid w:val="009E4F5E"/>
    <w:rsid w:val="009F1799"/>
    <w:rsid w:val="009F3BCA"/>
    <w:rsid w:val="009F47D9"/>
    <w:rsid w:val="009F4BD9"/>
    <w:rsid w:val="009F51E5"/>
    <w:rsid w:val="00A0412A"/>
    <w:rsid w:val="00A101E4"/>
    <w:rsid w:val="00A16CAA"/>
    <w:rsid w:val="00A231F9"/>
    <w:rsid w:val="00A27723"/>
    <w:rsid w:val="00A32DCD"/>
    <w:rsid w:val="00A3369E"/>
    <w:rsid w:val="00A37F21"/>
    <w:rsid w:val="00A54D45"/>
    <w:rsid w:val="00A56858"/>
    <w:rsid w:val="00A60FF8"/>
    <w:rsid w:val="00A61292"/>
    <w:rsid w:val="00A62280"/>
    <w:rsid w:val="00A62E66"/>
    <w:rsid w:val="00A70B13"/>
    <w:rsid w:val="00A720A4"/>
    <w:rsid w:val="00A76820"/>
    <w:rsid w:val="00A819EC"/>
    <w:rsid w:val="00A90069"/>
    <w:rsid w:val="00A90D93"/>
    <w:rsid w:val="00A967FD"/>
    <w:rsid w:val="00AB032F"/>
    <w:rsid w:val="00AB1070"/>
    <w:rsid w:val="00AB1F9F"/>
    <w:rsid w:val="00AB6CC2"/>
    <w:rsid w:val="00AB7A93"/>
    <w:rsid w:val="00AD4282"/>
    <w:rsid w:val="00AE0B9D"/>
    <w:rsid w:val="00AE3C74"/>
    <w:rsid w:val="00AF0356"/>
    <w:rsid w:val="00AF254C"/>
    <w:rsid w:val="00AF3EB6"/>
    <w:rsid w:val="00B01E85"/>
    <w:rsid w:val="00B04D6A"/>
    <w:rsid w:val="00B11AC7"/>
    <w:rsid w:val="00B11DBD"/>
    <w:rsid w:val="00B16DC4"/>
    <w:rsid w:val="00B1763D"/>
    <w:rsid w:val="00B17B94"/>
    <w:rsid w:val="00B17D4B"/>
    <w:rsid w:val="00B24F3F"/>
    <w:rsid w:val="00B26B5A"/>
    <w:rsid w:val="00B2721C"/>
    <w:rsid w:val="00B34B70"/>
    <w:rsid w:val="00B443C1"/>
    <w:rsid w:val="00B51CD1"/>
    <w:rsid w:val="00B5450E"/>
    <w:rsid w:val="00B545E6"/>
    <w:rsid w:val="00B55046"/>
    <w:rsid w:val="00B70E32"/>
    <w:rsid w:val="00B74B50"/>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02BF"/>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B2F"/>
    <w:rsid w:val="00C20EDC"/>
    <w:rsid w:val="00C223DF"/>
    <w:rsid w:val="00C318B9"/>
    <w:rsid w:val="00C334F8"/>
    <w:rsid w:val="00C4025B"/>
    <w:rsid w:val="00C450E3"/>
    <w:rsid w:val="00C46816"/>
    <w:rsid w:val="00C52CE6"/>
    <w:rsid w:val="00C62A4B"/>
    <w:rsid w:val="00C645AB"/>
    <w:rsid w:val="00C649DD"/>
    <w:rsid w:val="00C65443"/>
    <w:rsid w:val="00C729A9"/>
    <w:rsid w:val="00C75BB1"/>
    <w:rsid w:val="00C75DE1"/>
    <w:rsid w:val="00C77EB2"/>
    <w:rsid w:val="00C81FBB"/>
    <w:rsid w:val="00C968B3"/>
    <w:rsid w:val="00CA57AF"/>
    <w:rsid w:val="00CA5E3A"/>
    <w:rsid w:val="00CB061F"/>
    <w:rsid w:val="00CB0EFF"/>
    <w:rsid w:val="00CB7256"/>
    <w:rsid w:val="00CD2E3D"/>
    <w:rsid w:val="00CD663A"/>
    <w:rsid w:val="00CD772D"/>
    <w:rsid w:val="00CE33B5"/>
    <w:rsid w:val="00CF0E14"/>
    <w:rsid w:val="00CF1CF3"/>
    <w:rsid w:val="00CF1D1E"/>
    <w:rsid w:val="00CF4000"/>
    <w:rsid w:val="00CF470D"/>
    <w:rsid w:val="00CF5F3F"/>
    <w:rsid w:val="00CF66B4"/>
    <w:rsid w:val="00CF73F0"/>
    <w:rsid w:val="00CF7CFB"/>
    <w:rsid w:val="00D05FD8"/>
    <w:rsid w:val="00D126AA"/>
    <w:rsid w:val="00D303F7"/>
    <w:rsid w:val="00D42FEF"/>
    <w:rsid w:val="00D50118"/>
    <w:rsid w:val="00D50BF3"/>
    <w:rsid w:val="00D66F58"/>
    <w:rsid w:val="00D70557"/>
    <w:rsid w:val="00D72684"/>
    <w:rsid w:val="00D73110"/>
    <w:rsid w:val="00D738CA"/>
    <w:rsid w:val="00D76A5B"/>
    <w:rsid w:val="00D77190"/>
    <w:rsid w:val="00D83A60"/>
    <w:rsid w:val="00D96C20"/>
    <w:rsid w:val="00DA715A"/>
    <w:rsid w:val="00DB075A"/>
    <w:rsid w:val="00DB4753"/>
    <w:rsid w:val="00DB6670"/>
    <w:rsid w:val="00DB6763"/>
    <w:rsid w:val="00DC1908"/>
    <w:rsid w:val="00DD1D7A"/>
    <w:rsid w:val="00DD7D74"/>
    <w:rsid w:val="00DE0D32"/>
    <w:rsid w:val="00DE1443"/>
    <w:rsid w:val="00DE43C7"/>
    <w:rsid w:val="00DF3786"/>
    <w:rsid w:val="00DF659D"/>
    <w:rsid w:val="00DF71DB"/>
    <w:rsid w:val="00DF7381"/>
    <w:rsid w:val="00DF7654"/>
    <w:rsid w:val="00E04916"/>
    <w:rsid w:val="00E20879"/>
    <w:rsid w:val="00E21E32"/>
    <w:rsid w:val="00E22E09"/>
    <w:rsid w:val="00E2419B"/>
    <w:rsid w:val="00E30D7F"/>
    <w:rsid w:val="00E41D10"/>
    <w:rsid w:val="00E44BD0"/>
    <w:rsid w:val="00E45C6A"/>
    <w:rsid w:val="00E5688A"/>
    <w:rsid w:val="00E6090B"/>
    <w:rsid w:val="00E6543A"/>
    <w:rsid w:val="00E8220A"/>
    <w:rsid w:val="00E87813"/>
    <w:rsid w:val="00E973F3"/>
    <w:rsid w:val="00EA2D7B"/>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46D40"/>
    <w:rsid w:val="00F516DB"/>
    <w:rsid w:val="00F55C14"/>
    <w:rsid w:val="00F57DA2"/>
    <w:rsid w:val="00F64435"/>
    <w:rsid w:val="00F81894"/>
    <w:rsid w:val="00F82506"/>
    <w:rsid w:val="00F95E1F"/>
    <w:rsid w:val="00FA4A5A"/>
    <w:rsid w:val="00FA5940"/>
    <w:rsid w:val="00FB5C9E"/>
    <w:rsid w:val="00FC14F9"/>
    <w:rsid w:val="00FC4ECF"/>
    <w:rsid w:val="00FC67C4"/>
    <w:rsid w:val="00FE478F"/>
    <w:rsid w:val="00FE74BB"/>
    <w:rsid w:val="017EF3C7"/>
    <w:rsid w:val="019A82C7"/>
    <w:rsid w:val="02F7DDDA"/>
    <w:rsid w:val="03072A97"/>
    <w:rsid w:val="03BCEC59"/>
    <w:rsid w:val="041EF603"/>
    <w:rsid w:val="04909FFC"/>
    <w:rsid w:val="049A5DA0"/>
    <w:rsid w:val="05FB0BDB"/>
    <w:rsid w:val="08D5FE9E"/>
    <w:rsid w:val="0B1CBA0C"/>
    <w:rsid w:val="0BFCB123"/>
    <w:rsid w:val="0C34FEAC"/>
    <w:rsid w:val="0C82AD8A"/>
    <w:rsid w:val="0CA0099A"/>
    <w:rsid w:val="0D9039EF"/>
    <w:rsid w:val="0E037BDC"/>
    <w:rsid w:val="0E80657A"/>
    <w:rsid w:val="0F4045F9"/>
    <w:rsid w:val="111BA3FF"/>
    <w:rsid w:val="11F9EE40"/>
    <w:rsid w:val="12455CFD"/>
    <w:rsid w:val="124C26B1"/>
    <w:rsid w:val="12ABC06C"/>
    <w:rsid w:val="13E54C5F"/>
    <w:rsid w:val="143C7A44"/>
    <w:rsid w:val="16221833"/>
    <w:rsid w:val="176EBD65"/>
    <w:rsid w:val="1786F507"/>
    <w:rsid w:val="1814427A"/>
    <w:rsid w:val="18950E4C"/>
    <w:rsid w:val="1920746A"/>
    <w:rsid w:val="19FB4C3F"/>
    <w:rsid w:val="1AA4581E"/>
    <w:rsid w:val="1C3ECDDF"/>
    <w:rsid w:val="1D3CF1A0"/>
    <w:rsid w:val="1E5FE884"/>
    <w:rsid w:val="1FBD07F5"/>
    <w:rsid w:val="213DC5A0"/>
    <w:rsid w:val="21D5833B"/>
    <w:rsid w:val="23112E53"/>
    <w:rsid w:val="2370B4C7"/>
    <w:rsid w:val="24D67673"/>
    <w:rsid w:val="25AF39F7"/>
    <w:rsid w:val="2601B34C"/>
    <w:rsid w:val="26E13543"/>
    <w:rsid w:val="2791082D"/>
    <w:rsid w:val="27A56AFE"/>
    <w:rsid w:val="289237CE"/>
    <w:rsid w:val="28CD15AA"/>
    <w:rsid w:val="297A281D"/>
    <w:rsid w:val="2BBE91C0"/>
    <w:rsid w:val="2BE683A3"/>
    <w:rsid w:val="2C403273"/>
    <w:rsid w:val="2C62DAF2"/>
    <w:rsid w:val="2F5EDDA9"/>
    <w:rsid w:val="30197893"/>
    <w:rsid w:val="314A5E83"/>
    <w:rsid w:val="31A59100"/>
    <w:rsid w:val="3374412A"/>
    <w:rsid w:val="3383B172"/>
    <w:rsid w:val="3414894B"/>
    <w:rsid w:val="3579A937"/>
    <w:rsid w:val="359079A5"/>
    <w:rsid w:val="361D2DB6"/>
    <w:rsid w:val="3737A5F6"/>
    <w:rsid w:val="3851B538"/>
    <w:rsid w:val="393AE5BC"/>
    <w:rsid w:val="3A96A821"/>
    <w:rsid w:val="3B18A528"/>
    <w:rsid w:val="3C1AF847"/>
    <w:rsid w:val="3C626710"/>
    <w:rsid w:val="3C940400"/>
    <w:rsid w:val="3ED2DDBA"/>
    <w:rsid w:val="3F3C7C3D"/>
    <w:rsid w:val="3FF1F88A"/>
    <w:rsid w:val="409A95EB"/>
    <w:rsid w:val="41AB6311"/>
    <w:rsid w:val="4314D91B"/>
    <w:rsid w:val="4358FF0E"/>
    <w:rsid w:val="44650C37"/>
    <w:rsid w:val="44A595C3"/>
    <w:rsid w:val="44A8DCE8"/>
    <w:rsid w:val="4643103A"/>
    <w:rsid w:val="46825F90"/>
    <w:rsid w:val="46EDCFA2"/>
    <w:rsid w:val="474DB901"/>
    <w:rsid w:val="486125D2"/>
    <w:rsid w:val="497460E1"/>
    <w:rsid w:val="49B8A005"/>
    <w:rsid w:val="4B49B6F8"/>
    <w:rsid w:val="4BCC527C"/>
    <w:rsid w:val="4C304A8D"/>
    <w:rsid w:val="4CC045E5"/>
    <w:rsid w:val="4E34B9B8"/>
    <w:rsid w:val="4E5327AA"/>
    <w:rsid w:val="510164A9"/>
    <w:rsid w:val="511B52BD"/>
    <w:rsid w:val="51A0593D"/>
    <w:rsid w:val="522BC192"/>
    <w:rsid w:val="5373259A"/>
    <w:rsid w:val="53DA1536"/>
    <w:rsid w:val="53DC2238"/>
    <w:rsid w:val="53EA76E0"/>
    <w:rsid w:val="54250F83"/>
    <w:rsid w:val="5441CDCE"/>
    <w:rsid w:val="54DE67E8"/>
    <w:rsid w:val="55139D9F"/>
    <w:rsid w:val="559F86BC"/>
    <w:rsid w:val="55A8BDEA"/>
    <w:rsid w:val="564155EE"/>
    <w:rsid w:val="56935329"/>
    <w:rsid w:val="5699A902"/>
    <w:rsid w:val="57075211"/>
    <w:rsid w:val="5732892B"/>
    <w:rsid w:val="5925BA42"/>
    <w:rsid w:val="5A20D248"/>
    <w:rsid w:val="5AC5EB59"/>
    <w:rsid w:val="5CF943BE"/>
    <w:rsid w:val="5D9DE817"/>
    <w:rsid w:val="5DEBEC9D"/>
    <w:rsid w:val="5E0C7E27"/>
    <w:rsid w:val="5E3115C6"/>
    <w:rsid w:val="5EB80350"/>
    <w:rsid w:val="5F2CB0FE"/>
    <w:rsid w:val="5F4DFA8B"/>
    <w:rsid w:val="6044E883"/>
    <w:rsid w:val="61BC4D9C"/>
    <w:rsid w:val="61DC5024"/>
    <w:rsid w:val="622E4850"/>
    <w:rsid w:val="6272D691"/>
    <w:rsid w:val="631CE499"/>
    <w:rsid w:val="64A4485D"/>
    <w:rsid w:val="64C2FF65"/>
    <w:rsid w:val="66D5AF05"/>
    <w:rsid w:val="670C5BF1"/>
    <w:rsid w:val="6759DD16"/>
    <w:rsid w:val="675DB556"/>
    <w:rsid w:val="677792F1"/>
    <w:rsid w:val="69CEBF2C"/>
    <w:rsid w:val="69FB590E"/>
    <w:rsid w:val="6B209585"/>
    <w:rsid w:val="6BD81CA0"/>
    <w:rsid w:val="6BF8DA1E"/>
    <w:rsid w:val="6D3DF7F9"/>
    <w:rsid w:val="6D8BBA45"/>
    <w:rsid w:val="6DB52EE3"/>
    <w:rsid w:val="6E814734"/>
    <w:rsid w:val="7258AC89"/>
    <w:rsid w:val="72C47889"/>
    <w:rsid w:val="72D7E7AD"/>
    <w:rsid w:val="737B6BF6"/>
    <w:rsid w:val="73EC1C70"/>
    <w:rsid w:val="74C162E1"/>
    <w:rsid w:val="75B0F58D"/>
    <w:rsid w:val="75D74198"/>
    <w:rsid w:val="76909495"/>
    <w:rsid w:val="78A042BF"/>
    <w:rsid w:val="796A4F87"/>
    <w:rsid w:val="79D8A1B5"/>
    <w:rsid w:val="7AAAAC48"/>
    <w:rsid w:val="7ADB6B99"/>
    <w:rsid w:val="7B01ABEB"/>
    <w:rsid w:val="7C27F777"/>
    <w:rsid w:val="7FB0AB0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F8B5E"/>
  <w15:docId w15:val="{0CE1FABE-4B8A-4492-91F7-92170C4DF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uiPriority w:val="99"/>
    <w:rsid w:val="001C31D5"/>
    <w:rPr>
      <w:rFonts w:eastAsia="Times New Roman"/>
      <w:sz w:val="20"/>
      <w:szCs w:val="20"/>
      <w:lang w:val="x-none" w:eastAsia="es-ES"/>
    </w:rPr>
  </w:style>
  <w:style w:type="character" w:customStyle="1" w:styleId="TextonotapieCar">
    <w:name w:val="Texto nota pie Car"/>
    <w:link w:val="Textonotapie"/>
    <w:uiPriority w:val="99"/>
    <w:rsid w:val="001C31D5"/>
    <w:rPr>
      <w:rFonts w:ascii="Times New Roman" w:eastAsia="Times New Roman" w:hAnsi="Times New Roman" w:cs="Times New Roman"/>
      <w:sz w:val="20"/>
      <w:szCs w:val="20"/>
      <w:lang w:eastAsia="es-ES"/>
    </w:rPr>
  </w:style>
  <w:style w:type="character" w:styleId="Refdenotaalpie">
    <w:name w:val="footnote reference"/>
    <w:uiPriority w:val="99"/>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97627">
      <w:bodyDiv w:val="1"/>
      <w:marLeft w:val="0"/>
      <w:marRight w:val="0"/>
      <w:marTop w:val="0"/>
      <w:marBottom w:val="0"/>
      <w:divBdr>
        <w:top w:val="none" w:sz="0" w:space="0" w:color="auto"/>
        <w:left w:val="none" w:sz="0" w:space="0" w:color="auto"/>
        <w:bottom w:val="none" w:sz="0" w:space="0" w:color="auto"/>
        <w:right w:val="none" w:sz="0" w:space="0" w:color="auto"/>
      </w:divBdr>
    </w:div>
    <w:div w:id="138305093">
      <w:bodyDiv w:val="1"/>
      <w:marLeft w:val="0"/>
      <w:marRight w:val="0"/>
      <w:marTop w:val="0"/>
      <w:marBottom w:val="0"/>
      <w:divBdr>
        <w:top w:val="none" w:sz="0" w:space="0" w:color="auto"/>
        <w:left w:val="none" w:sz="0" w:space="0" w:color="auto"/>
        <w:bottom w:val="none" w:sz="0" w:space="0" w:color="auto"/>
        <w:right w:val="none" w:sz="0" w:space="0" w:color="auto"/>
      </w:divBdr>
    </w:div>
    <w:div w:id="215170562">
      <w:bodyDiv w:val="1"/>
      <w:marLeft w:val="0"/>
      <w:marRight w:val="0"/>
      <w:marTop w:val="0"/>
      <w:marBottom w:val="0"/>
      <w:divBdr>
        <w:top w:val="none" w:sz="0" w:space="0" w:color="auto"/>
        <w:left w:val="none" w:sz="0" w:space="0" w:color="auto"/>
        <w:bottom w:val="none" w:sz="0" w:space="0" w:color="auto"/>
        <w:right w:val="none" w:sz="0" w:space="0" w:color="auto"/>
      </w:divBdr>
    </w:div>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77260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71343798">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73737311">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249342712">
      <w:bodyDiv w:val="1"/>
      <w:marLeft w:val="0"/>
      <w:marRight w:val="0"/>
      <w:marTop w:val="0"/>
      <w:marBottom w:val="0"/>
      <w:divBdr>
        <w:top w:val="none" w:sz="0" w:space="0" w:color="auto"/>
        <w:left w:val="none" w:sz="0" w:space="0" w:color="auto"/>
        <w:bottom w:val="none" w:sz="0" w:space="0" w:color="auto"/>
        <w:right w:val="none" w:sz="0" w:space="0" w:color="auto"/>
      </w:divBdr>
    </w:div>
    <w:div w:id="140248657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 w:id="1561213068">
      <w:bodyDiv w:val="1"/>
      <w:marLeft w:val="0"/>
      <w:marRight w:val="0"/>
      <w:marTop w:val="0"/>
      <w:marBottom w:val="0"/>
      <w:divBdr>
        <w:top w:val="none" w:sz="0" w:space="0" w:color="auto"/>
        <w:left w:val="none" w:sz="0" w:space="0" w:color="auto"/>
        <w:bottom w:val="none" w:sz="0" w:space="0" w:color="auto"/>
        <w:right w:val="none" w:sz="0" w:space="0" w:color="auto"/>
      </w:divBdr>
    </w:div>
    <w:div w:id="173469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1A40F5EFA450E49AE6D17FB6FCCDA5B" ma:contentTypeVersion="10" ma:contentTypeDescription="Crear nuevo documento." ma:contentTypeScope="" ma:versionID="b4d0e42a12b09e20bf079168dc2513dc">
  <xsd:schema xmlns:xsd="http://www.w3.org/2001/XMLSchema" xmlns:xs="http://www.w3.org/2001/XMLSchema" xmlns:p="http://schemas.microsoft.com/office/2006/metadata/properties" xmlns:ns3="3e21d5da-5fd5-4ebf-bcfc-02bdf0be2a02" xmlns:ns4="8bf49dd5-9af8-45c1-8cb1-b4ac8a544457" targetNamespace="http://schemas.microsoft.com/office/2006/metadata/properties" ma:root="true" ma:fieldsID="511e5fc7e58097486625b8f94ab43835" ns3:_="" ns4:_="">
    <xsd:import namespace="3e21d5da-5fd5-4ebf-bcfc-02bdf0be2a02"/>
    <xsd:import namespace="8bf49dd5-9af8-45c1-8cb1-b4ac8a5444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1d5da-5fd5-4ebf-bcfc-02bdf0be2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f49dd5-9af8-45c1-8cb1-b4ac8a544457"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271D4-1AAB-4A88-8908-B3B446C82A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FFCB2B-F6A2-420F-A1D8-2243E96441C6}">
  <ds:schemaRefs>
    <ds:schemaRef ds:uri="http://schemas.microsoft.com/sharepoint/v3/contenttype/forms"/>
  </ds:schemaRefs>
</ds:datastoreItem>
</file>

<file path=customXml/itemProps3.xml><?xml version="1.0" encoding="utf-8"?>
<ds:datastoreItem xmlns:ds="http://schemas.openxmlformats.org/officeDocument/2006/customXml" ds:itemID="{C42140D4-534D-4AD6-94E8-EFD474BD1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1d5da-5fd5-4ebf-bcfc-02bdf0be2a02"/>
    <ds:schemaRef ds:uri="8bf49dd5-9af8-45c1-8cb1-b4ac8a544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5BAB2B-8DEF-4C2F-AA05-B80E8CEE5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1686</Words>
  <Characters>9277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Janeth Cortes Hernandez</dc:creator>
  <cp:keywords/>
  <cp:lastModifiedBy>Luis Leonardo Mongui Rojas</cp:lastModifiedBy>
  <cp:revision>2</cp:revision>
  <cp:lastPrinted>2015-12-03T17:27:00Z</cp:lastPrinted>
  <dcterms:created xsi:type="dcterms:W3CDTF">2020-07-08T22:23:00Z</dcterms:created>
  <dcterms:modified xsi:type="dcterms:W3CDTF">2020-07-08T22:23:00Z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0x010100B1A40F5EFA450E49AE6D17FB6FCCDA5B</vt:lpwstr>
  </property>
</Properties>
</file>