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081C2E" w:rsidRPr="00081C2E" w14:paraId="6DBFECDD"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6DBFECDB" w14:textId="77777777" w:rsidR="0026513E" w:rsidRPr="00081C2E" w:rsidRDefault="00795C6B" w:rsidP="002264B8">
            <w:pPr>
              <w:pStyle w:val="Ttulo2"/>
              <w:ind w:right="72"/>
              <w:jc w:val="left"/>
              <w:rPr>
                <w:rFonts w:ascii="Arial Narrow" w:hAnsi="Arial Narrow" w:cs="Arial"/>
                <w:bCs/>
                <w:sz w:val="22"/>
                <w:szCs w:val="22"/>
              </w:rPr>
            </w:pPr>
            <w:r w:rsidRPr="00081C2E">
              <w:rPr>
                <w:rFonts w:ascii="Arial Narrow" w:hAnsi="Arial Narrow" w:cs="Arial"/>
                <w:sz w:val="22"/>
                <w:szCs w:val="22"/>
                <w:lang w:val="es-CO"/>
              </w:rPr>
              <w:t>Entidad</w:t>
            </w:r>
            <w:r w:rsidR="00086B16" w:rsidRPr="00081C2E">
              <w:rPr>
                <w:rFonts w:ascii="Arial Narrow" w:hAnsi="Arial Narrow" w:cs="Arial"/>
                <w:sz w:val="22"/>
                <w:szCs w:val="22"/>
                <w:lang w:val="es-CO"/>
              </w:rPr>
              <w:t xml:space="preserve"> </w:t>
            </w:r>
            <w:r w:rsidRPr="00081C2E">
              <w:rPr>
                <w:rFonts w:ascii="Arial Narrow" w:hAnsi="Arial Narrow" w:cs="Arial"/>
                <w:sz w:val="22"/>
                <w:szCs w:val="22"/>
                <w:lang w:val="es-CO"/>
              </w:rPr>
              <w:t>originadora</w:t>
            </w:r>
            <w:r w:rsidR="00293F29" w:rsidRPr="00081C2E">
              <w:rPr>
                <w:rFonts w:ascii="Arial Narrow" w:hAnsi="Arial Narrow" w:cs="Arial"/>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6DBFECDC" w14:textId="6373780E" w:rsidR="0026513E" w:rsidRPr="00081C2E" w:rsidRDefault="00501917" w:rsidP="00F53CFE">
            <w:pPr>
              <w:pStyle w:val="Ttulo2"/>
              <w:ind w:left="72" w:right="72"/>
              <w:rPr>
                <w:rFonts w:ascii="Arial Narrow" w:hAnsi="Arial Narrow" w:cs="Arial"/>
                <w:b w:val="0"/>
                <w:i/>
                <w:sz w:val="22"/>
                <w:szCs w:val="22"/>
              </w:rPr>
            </w:pPr>
            <w:r w:rsidRPr="00081C2E">
              <w:rPr>
                <w:rFonts w:ascii="Arial Narrow" w:hAnsi="Arial Narrow" w:cs="Arial"/>
                <w:b w:val="0"/>
                <w:i/>
                <w:sz w:val="22"/>
                <w:szCs w:val="22"/>
              </w:rPr>
              <w:t>Ministerio de Tecnologías de la Información y las Comunicaciones / Agencia Nacional del Espectro</w:t>
            </w:r>
          </w:p>
        </w:tc>
      </w:tr>
      <w:tr w:rsidR="00081C2E" w:rsidRPr="00081C2E" w14:paraId="6DBFECE0"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6DBFECDE" w14:textId="77777777" w:rsidR="00C47F73" w:rsidRPr="00081C2E" w:rsidRDefault="0026513E" w:rsidP="002264B8">
            <w:pPr>
              <w:pStyle w:val="Ttulo2"/>
              <w:ind w:right="72"/>
              <w:jc w:val="left"/>
              <w:rPr>
                <w:rFonts w:ascii="Arial Narrow" w:hAnsi="Arial Narrow" w:cs="Arial"/>
                <w:bCs/>
                <w:sz w:val="22"/>
                <w:szCs w:val="22"/>
              </w:rPr>
            </w:pPr>
            <w:r w:rsidRPr="00081C2E">
              <w:rPr>
                <w:rFonts w:ascii="Arial Narrow" w:hAnsi="Arial Narrow" w:cs="Arial"/>
                <w:bCs/>
                <w:sz w:val="22"/>
                <w:szCs w:val="22"/>
              </w:rPr>
              <w:t>Fecha</w:t>
            </w:r>
            <w:r w:rsidR="00BB545F" w:rsidRPr="00081C2E">
              <w:rPr>
                <w:rFonts w:ascii="Arial Narrow" w:hAnsi="Arial Narrow" w:cs="Arial"/>
                <w:bCs/>
                <w:sz w:val="22"/>
                <w:szCs w:val="22"/>
              </w:rPr>
              <w:t xml:space="preserve"> (</w:t>
            </w:r>
            <w:proofErr w:type="spellStart"/>
            <w:r w:rsidR="00BB545F" w:rsidRPr="00081C2E">
              <w:rPr>
                <w:rFonts w:ascii="Arial Narrow" w:hAnsi="Arial Narrow" w:cs="Arial"/>
                <w:bCs/>
                <w:sz w:val="22"/>
                <w:szCs w:val="22"/>
              </w:rPr>
              <w:t>dd</w:t>
            </w:r>
            <w:proofErr w:type="spellEnd"/>
            <w:r w:rsidR="00BB545F" w:rsidRPr="00081C2E">
              <w:rPr>
                <w:rFonts w:ascii="Arial Narrow" w:hAnsi="Arial Narrow" w:cs="Arial"/>
                <w:bCs/>
                <w:sz w:val="22"/>
                <w:szCs w:val="22"/>
              </w:rPr>
              <w:t>/mm/</w:t>
            </w:r>
            <w:proofErr w:type="spellStart"/>
            <w:r w:rsidR="00BB545F" w:rsidRPr="00081C2E">
              <w:rPr>
                <w:rFonts w:ascii="Arial Narrow" w:hAnsi="Arial Narrow" w:cs="Arial"/>
                <w:bCs/>
                <w:sz w:val="22"/>
                <w:szCs w:val="22"/>
              </w:rPr>
              <w:t>aa</w:t>
            </w:r>
            <w:proofErr w:type="spellEnd"/>
            <w:r w:rsidR="00BB545F" w:rsidRPr="00081C2E">
              <w:rPr>
                <w:rFonts w:ascii="Arial Narrow" w:hAnsi="Arial Narrow" w:cs="Arial"/>
                <w:bCs/>
                <w:sz w:val="22"/>
                <w:szCs w:val="22"/>
              </w:rPr>
              <w:t>)</w:t>
            </w:r>
            <w:r w:rsidR="00293F29" w:rsidRPr="00081C2E">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6DBFECDF" w14:textId="11EC259A" w:rsidR="00C47F73" w:rsidRPr="00081C2E" w:rsidRDefault="00081C2E" w:rsidP="00F53CFE">
            <w:pPr>
              <w:pStyle w:val="Ttulo2"/>
              <w:ind w:left="72" w:right="72"/>
              <w:rPr>
                <w:rFonts w:ascii="Arial Narrow" w:hAnsi="Arial Narrow" w:cs="Arial"/>
                <w:b w:val="0"/>
                <w:sz w:val="22"/>
                <w:szCs w:val="22"/>
              </w:rPr>
            </w:pPr>
            <w:r>
              <w:rPr>
                <w:rFonts w:ascii="Arial Narrow" w:hAnsi="Arial Narrow" w:cs="Arial"/>
                <w:b w:val="0"/>
                <w:i/>
                <w:sz w:val="22"/>
                <w:szCs w:val="22"/>
              </w:rPr>
              <w:t>07/12/20</w:t>
            </w:r>
          </w:p>
        </w:tc>
      </w:tr>
      <w:tr w:rsidR="00081C2E" w:rsidRPr="00081C2E" w14:paraId="6DBFECE3"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6DBFECE1" w14:textId="77777777" w:rsidR="0059316B" w:rsidRPr="00081C2E" w:rsidRDefault="00A55DB6" w:rsidP="002264B8">
            <w:pPr>
              <w:pStyle w:val="Ttulo2"/>
              <w:ind w:right="72"/>
              <w:jc w:val="left"/>
              <w:rPr>
                <w:rFonts w:ascii="Arial Narrow" w:hAnsi="Arial Narrow" w:cs="Arial"/>
                <w:bCs/>
                <w:sz w:val="22"/>
                <w:szCs w:val="22"/>
              </w:rPr>
            </w:pPr>
            <w:r w:rsidRPr="00081C2E">
              <w:rPr>
                <w:rFonts w:ascii="Arial Narrow" w:hAnsi="Arial Narrow" w:cs="Arial"/>
                <w:bCs/>
                <w:sz w:val="22"/>
                <w:szCs w:val="22"/>
              </w:rPr>
              <w:t xml:space="preserve">Proyecto de </w:t>
            </w:r>
            <w:r w:rsidR="00587695" w:rsidRPr="00081C2E">
              <w:rPr>
                <w:rFonts w:ascii="Arial Narrow" w:hAnsi="Arial Narrow" w:cs="Arial"/>
                <w:bCs/>
                <w:sz w:val="22"/>
                <w:szCs w:val="22"/>
              </w:rPr>
              <w:t>D</w:t>
            </w:r>
            <w:r w:rsidRPr="00081C2E">
              <w:rPr>
                <w:rFonts w:ascii="Arial Narrow" w:hAnsi="Arial Narrow" w:cs="Arial"/>
                <w:bCs/>
                <w:sz w:val="22"/>
                <w:szCs w:val="22"/>
              </w:rPr>
              <w:t>ecreto</w:t>
            </w:r>
            <w:r w:rsidR="00795C6B" w:rsidRPr="00081C2E">
              <w:rPr>
                <w:rFonts w:ascii="Arial Narrow" w:hAnsi="Arial Narrow" w:cs="Arial"/>
                <w:bCs/>
                <w:sz w:val="22"/>
                <w:szCs w:val="22"/>
              </w:rPr>
              <w:t>/Resolución</w:t>
            </w:r>
            <w:r w:rsidR="00293F29" w:rsidRPr="00081C2E">
              <w:rPr>
                <w:rFonts w:ascii="Arial Narrow" w:hAnsi="Arial Narrow" w:cs="Arial"/>
                <w:bCs/>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6DBFECE2" w14:textId="2B6B3E58" w:rsidR="001F238A" w:rsidRPr="00081C2E" w:rsidRDefault="00081C2E" w:rsidP="00F53CFE">
            <w:pPr>
              <w:pStyle w:val="Ttulo2"/>
              <w:ind w:left="72" w:right="72"/>
              <w:rPr>
                <w:rFonts w:ascii="Arial Narrow" w:hAnsi="Arial Narrow" w:cs="Arial"/>
                <w:spacing w:val="-3"/>
                <w:sz w:val="22"/>
                <w:szCs w:val="22"/>
                <w:lang w:val="es-CO"/>
              </w:rPr>
            </w:pPr>
            <w:r w:rsidRPr="00081C2E">
              <w:rPr>
                <w:rFonts w:ascii="Arial Narrow" w:hAnsi="Arial Narrow" w:cs="Arial"/>
                <w:b w:val="0"/>
                <w:i/>
                <w:sz w:val="22"/>
                <w:szCs w:val="22"/>
              </w:rPr>
              <w:t>Por medio de la cual se modifica la tabla A.2.3 del literal A.2 del Anexo de la Resolución 290 de 2010 y se adiciona el literal b.5 al mismo anexo</w:t>
            </w:r>
          </w:p>
        </w:tc>
      </w:tr>
      <w:tr w:rsidR="00081C2E" w:rsidRPr="00081C2E" w14:paraId="6DBFECE8" w14:textId="77777777" w:rsidTr="0075705D">
        <w:trPr>
          <w:trHeight w:val="674"/>
        </w:trPr>
        <w:tc>
          <w:tcPr>
            <w:tcW w:w="10774" w:type="dxa"/>
            <w:gridSpan w:val="3"/>
            <w:tcBorders>
              <w:top w:val="single" w:sz="4" w:space="0" w:color="auto"/>
            </w:tcBorders>
            <w:shd w:val="clear" w:color="auto" w:fill="FFFFFF"/>
            <w:vAlign w:val="center"/>
          </w:tcPr>
          <w:p w14:paraId="6DBFECE4" w14:textId="77777777" w:rsidR="006315B4" w:rsidRPr="00081C2E" w:rsidRDefault="006315B4" w:rsidP="006B5225">
            <w:pPr>
              <w:autoSpaceDE w:val="0"/>
              <w:autoSpaceDN w:val="0"/>
              <w:adjustRightInd w:val="0"/>
              <w:jc w:val="both"/>
              <w:rPr>
                <w:rFonts w:ascii="Arial Narrow" w:eastAsia="Calibri" w:hAnsi="Arial Narrow" w:cs="Arial"/>
                <w:sz w:val="22"/>
                <w:szCs w:val="22"/>
                <w:lang w:val="es-CO" w:eastAsia="en-US"/>
              </w:rPr>
            </w:pPr>
          </w:p>
          <w:p w14:paraId="6DBFECE5" w14:textId="0A6D1555" w:rsidR="0095690D" w:rsidRPr="00081C2E" w:rsidRDefault="0095690D" w:rsidP="006B5225">
            <w:pPr>
              <w:numPr>
                <w:ilvl w:val="0"/>
                <w:numId w:val="44"/>
              </w:numPr>
              <w:ind w:left="494"/>
              <w:jc w:val="both"/>
              <w:rPr>
                <w:rFonts w:ascii="Arial Narrow" w:hAnsi="Arial Narrow" w:cs="Arial"/>
                <w:b/>
                <w:sz w:val="22"/>
                <w:szCs w:val="22"/>
                <w:lang w:val="es-CO"/>
              </w:rPr>
            </w:pPr>
            <w:r w:rsidRPr="00081C2E">
              <w:rPr>
                <w:rFonts w:ascii="Arial Narrow" w:hAnsi="Arial Narrow" w:cs="Arial"/>
                <w:b/>
                <w:sz w:val="22"/>
                <w:szCs w:val="22"/>
                <w:lang w:val="es-CO"/>
              </w:rPr>
              <w:t>ANTECEDENTES Y RAZONES DE OPORTUNIDAD Y CONVENIENCIA QUE JUSTIFICAN SU EXPEDICIÓN.</w:t>
            </w:r>
          </w:p>
          <w:p w14:paraId="15D8157B" w14:textId="77777777" w:rsidR="00BA5F95" w:rsidRPr="00081C2E" w:rsidRDefault="00BA5F95" w:rsidP="006B5225">
            <w:pPr>
              <w:ind w:left="494"/>
              <w:jc w:val="both"/>
              <w:rPr>
                <w:rFonts w:ascii="Arial Narrow" w:hAnsi="Arial Narrow" w:cs="Arial"/>
                <w:b/>
                <w:sz w:val="22"/>
                <w:szCs w:val="22"/>
                <w:lang w:val="es-CO"/>
              </w:rPr>
            </w:pPr>
          </w:p>
          <w:p w14:paraId="4A5C1055" w14:textId="11DE94E2" w:rsidR="002D738A" w:rsidRPr="00081C2E" w:rsidRDefault="002D738A" w:rsidP="002D738A">
            <w:pPr>
              <w:ind w:left="494"/>
              <w:jc w:val="both"/>
              <w:rPr>
                <w:rFonts w:ascii="Arial Narrow" w:hAnsi="Arial Narrow" w:cs="Arial"/>
                <w:sz w:val="22"/>
                <w:szCs w:val="22"/>
              </w:rPr>
            </w:pPr>
          </w:p>
          <w:p w14:paraId="6FB2A364" w14:textId="7F7B0BC4" w:rsidR="00F96790" w:rsidRDefault="00F96790" w:rsidP="002D738A">
            <w:pPr>
              <w:ind w:left="494"/>
              <w:jc w:val="both"/>
              <w:rPr>
                <w:rFonts w:ascii="Arial Narrow" w:hAnsi="Arial Narrow" w:cs="Arial"/>
                <w:sz w:val="22"/>
                <w:szCs w:val="22"/>
              </w:rPr>
            </w:pPr>
            <w:r w:rsidRPr="00F96790">
              <w:rPr>
                <w:rFonts w:ascii="Arial Narrow" w:hAnsi="Arial Narrow" w:cs="Arial"/>
                <w:sz w:val="22"/>
                <w:szCs w:val="22"/>
              </w:rPr>
              <w:t xml:space="preserve">Con base en la información reportada por los proveedores de redes y servicios de telecomunicaciones – PRST, </w:t>
            </w:r>
            <w:r>
              <w:rPr>
                <w:rFonts w:ascii="Arial Narrow" w:hAnsi="Arial Narrow" w:cs="Arial"/>
                <w:sz w:val="22"/>
                <w:szCs w:val="22"/>
              </w:rPr>
              <w:t xml:space="preserve">este Ministerio </w:t>
            </w:r>
            <w:r w:rsidRPr="00F96790">
              <w:rPr>
                <w:rFonts w:ascii="Arial Narrow" w:hAnsi="Arial Narrow" w:cs="Arial"/>
                <w:sz w:val="22"/>
                <w:szCs w:val="22"/>
              </w:rPr>
              <w:t>identificó que persiste un rezago en el despliegue de infraestructura para el servicio móvil en el departamento del Archipiélago de San Andrés, Providencia y Santa Catalina</w:t>
            </w:r>
            <w:r>
              <w:rPr>
                <w:rFonts w:ascii="Arial Narrow" w:hAnsi="Arial Narrow" w:cs="Arial"/>
                <w:sz w:val="22"/>
                <w:szCs w:val="22"/>
              </w:rPr>
              <w:t>.</w:t>
            </w:r>
          </w:p>
          <w:p w14:paraId="2E7F4C93" w14:textId="77777777" w:rsidR="00F96790" w:rsidRDefault="00F96790" w:rsidP="002D738A">
            <w:pPr>
              <w:ind w:left="494"/>
              <w:jc w:val="both"/>
              <w:rPr>
                <w:rFonts w:ascii="Arial Narrow" w:hAnsi="Arial Narrow" w:cs="Arial"/>
                <w:sz w:val="22"/>
                <w:szCs w:val="22"/>
              </w:rPr>
            </w:pPr>
          </w:p>
          <w:p w14:paraId="094AA50A" w14:textId="75FB4450" w:rsidR="002D738A" w:rsidRPr="00081C2E" w:rsidRDefault="00F96790">
            <w:pPr>
              <w:ind w:left="494"/>
              <w:jc w:val="both"/>
              <w:rPr>
                <w:rFonts w:ascii="Arial Narrow" w:hAnsi="Arial Narrow" w:cs="Arial"/>
                <w:sz w:val="22"/>
                <w:szCs w:val="22"/>
              </w:rPr>
            </w:pPr>
            <w:r>
              <w:rPr>
                <w:rFonts w:ascii="Arial Narrow" w:hAnsi="Arial Narrow" w:cs="Arial"/>
                <w:sz w:val="22"/>
                <w:szCs w:val="22"/>
              </w:rPr>
              <w:t>Adicionalmente. e</w:t>
            </w:r>
            <w:r w:rsidR="002D738A" w:rsidRPr="00081C2E">
              <w:rPr>
                <w:rFonts w:ascii="Arial Narrow" w:hAnsi="Arial Narrow" w:cs="Arial"/>
                <w:sz w:val="22"/>
                <w:szCs w:val="22"/>
              </w:rPr>
              <w:t>l 17 de noviembre de 2020 mediante el Boletín 24 el IDEAM declar</w:t>
            </w:r>
            <w:r w:rsidR="00C70E5D" w:rsidRPr="00081C2E">
              <w:rPr>
                <w:rFonts w:ascii="Arial Narrow" w:hAnsi="Arial Narrow" w:cs="Arial"/>
                <w:sz w:val="22"/>
                <w:szCs w:val="22"/>
              </w:rPr>
              <w:t>ó</w:t>
            </w:r>
            <w:r w:rsidR="002D738A" w:rsidRPr="00081C2E">
              <w:rPr>
                <w:rFonts w:ascii="Arial Narrow" w:hAnsi="Arial Narrow" w:cs="Arial"/>
                <w:sz w:val="22"/>
                <w:szCs w:val="22"/>
              </w:rPr>
              <w:t xml:space="preserve"> el Estado de Alarma con Nivel de peligrosidad Alta Huracán </w:t>
            </w:r>
            <w:r w:rsidR="00932C5E" w:rsidRPr="00081C2E">
              <w:rPr>
                <w:rFonts w:ascii="Arial Narrow" w:hAnsi="Arial Narrow" w:cs="Arial"/>
                <w:sz w:val="22"/>
                <w:szCs w:val="22"/>
              </w:rPr>
              <w:t xml:space="preserve">y </w:t>
            </w:r>
            <w:r w:rsidR="002D738A" w:rsidRPr="00081C2E">
              <w:rPr>
                <w:rFonts w:ascii="Arial Narrow" w:hAnsi="Arial Narrow" w:cs="Arial"/>
                <w:sz w:val="22"/>
                <w:szCs w:val="22"/>
              </w:rPr>
              <w:t>mant</w:t>
            </w:r>
            <w:r w:rsidR="00932C5E" w:rsidRPr="00081C2E">
              <w:rPr>
                <w:rFonts w:ascii="Arial Narrow" w:hAnsi="Arial Narrow" w:cs="Arial"/>
                <w:sz w:val="22"/>
                <w:szCs w:val="22"/>
              </w:rPr>
              <w:t>uvo</w:t>
            </w:r>
            <w:r w:rsidR="002D738A" w:rsidRPr="00081C2E">
              <w:rPr>
                <w:rFonts w:ascii="Arial Narrow" w:hAnsi="Arial Narrow" w:cs="Arial"/>
                <w:sz w:val="22"/>
                <w:szCs w:val="22"/>
              </w:rPr>
              <w:t xml:space="preserve"> aviso de tormenta tropical para el departamento </w:t>
            </w:r>
            <w:r w:rsidR="008633D7" w:rsidRPr="00081C2E">
              <w:rPr>
                <w:rFonts w:ascii="Arial Narrow" w:hAnsi="Arial Narrow" w:cs="Arial"/>
                <w:sz w:val="22"/>
                <w:szCs w:val="22"/>
              </w:rPr>
              <w:t xml:space="preserve">de </w:t>
            </w:r>
            <w:r w:rsidR="002D738A" w:rsidRPr="00081C2E">
              <w:rPr>
                <w:rFonts w:ascii="Arial Narrow" w:hAnsi="Arial Narrow" w:cs="Arial"/>
                <w:sz w:val="22"/>
                <w:szCs w:val="22"/>
              </w:rPr>
              <w:t>Archipiélago de San Andrés, Providencia y Santa Catalin</w:t>
            </w:r>
            <w:r w:rsidR="006027E0" w:rsidRPr="00081C2E">
              <w:rPr>
                <w:rFonts w:ascii="Arial Narrow" w:hAnsi="Arial Narrow" w:cs="Arial"/>
                <w:sz w:val="22"/>
                <w:szCs w:val="22"/>
              </w:rPr>
              <w:t>a, siendo afectado el departamento por el paso del Huracán IOTA</w:t>
            </w:r>
            <w:r w:rsidR="00486605" w:rsidRPr="00081C2E">
              <w:rPr>
                <w:rFonts w:ascii="Arial Narrow" w:hAnsi="Arial Narrow" w:cs="Arial"/>
                <w:sz w:val="22"/>
                <w:szCs w:val="22"/>
              </w:rPr>
              <w:t>.</w:t>
            </w:r>
            <w:r w:rsidR="006B515A">
              <w:rPr>
                <w:rFonts w:ascii="Arial Narrow" w:hAnsi="Arial Narrow" w:cs="Arial"/>
                <w:sz w:val="22"/>
                <w:szCs w:val="22"/>
              </w:rPr>
              <w:t xml:space="preserve"> </w:t>
            </w:r>
            <w:r w:rsidR="00341A35" w:rsidRPr="00081C2E">
              <w:rPr>
                <w:rFonts w:ascii="Arial Narrow" w:hAnsi="Arial Narrow" w:cs="Arial"/>
                <w:sz w:val="22"/>
                <w:szCs w:val="22"/>
              </w:rPr>
              <w:t>E</w:t>
            </w:r>
            <w:r w:rsidR="002D738A" w:rsidRPr="00081C2E">
              <w:rPr>
                <w:rFonts w:ascii="Arial Narrow" w:hAnsi="Arial Narrow" w:cs="Arial"/>
                <w:sz w:val="22"/>
                <w:szCs w:val="22"/>
              </w:rPr>
              <w:t xml:space="preserve">n visita y sobrevuelo de verificación realizada por el presidente de la República, a la isla de Providencia, se evidenciaron afectaciones en más del 95% de la Isla de Providencia, generando daños </w:t>
            </w:r>
            <w:r w:rsidR="00435840" w:rsidRPr="00081C2E">
              <w:rPr>
                <w:rFonts w:ascii="Arial Narrow" w:hAnsi="Arial Narrow" w:cs="Arial"/>
                <w:sz w:val="22"/>
                <w:szCs w:val="22"/>
              </w:rPr>
              <w:t>graves</w:t>
            </w:r>
            <w:r w:rsidR="002D738A" w:rsidRPr="00081C2E">
              <w:rPr>
                <w:rFonts w:ascii="Arial Narrow" w:hAnsi="Arial Narrow" w:cs="Arial"/>
                <w:sz w:val="22"/>
                <w:szCs w:val="22"/>
              </w:rPr>
              <w:t xml:space="preserve"> en los servicios básicos, agua potable y saneamiento básico, infraestructura, comercio, y daños</w:t>
            </w:r>
            <w:r w:rsidR="00A21854" w:rsidRPr="00081C2E">
              <w:rPr>
                <w:rFonts w:ascii="Arial Narrow" w:hAnsi="Arial Narrow" w:cs="Arial"/>
                <w:sz w:val="22"/>
                <w:szCs w:val="22"/>
              </w:rPr>
              <w:t xml:space="preserve"> </w:t>
            </w:r>
            <w:r w:rsidR="002D738A" w:rsidRPr="00081C2E">
              <w:rPr>
                <w:rFonts w:ascii="Arial Narrow" w:hAnsi="Arial Narrow" w:cs="Arial"/>
                <w:sz w:val="22"/>
                <w:szCs w:val="22"/>
              </w:rPr>
              <w:t>ambientales,</w:t>
            </w:r>
            <w:r w:rsidR="00A21854" w:rsidRPr="00081C2E">
              <w:rPr>
                <w:rFonts w:ascii="Arial Narrow" w:hAnsi="Arial Narrow" w:cs="Arial"/>
                <w:sz w:val="22"/>
                <w:szCs w:val="22"/>
              </w:rPr>
              <w:t xml:space="preserve"> entre otros,</w:t>
            </w:r>
            <w:r w:rsidR="002D738A" w:rsidRPr="00081C2E">
              <w:rPr>
                <w:rFonts w:ascii="Arial Narrow" w:hAnsi="Arial Narrow" w:cs="Arial"/>
                <w:sz w:val="22"/>
                <w:szCs w:val="22"/>
              </w:rPr>
              <w:t xml:space="preserve"> que impactan gravemente el </w:t>
            </w:r>
            <w:r w:rsidR="00435840" w:rsidRPr="00081C2E">
              <w:rPr>
                <w:rFonts w:ascii="Arial Narrow" w:hAnsi="Arial Narrow" w:cs="Arial"/>
                <w:sz w:val="22"/>
                <w:szCs w:val="22"/>
              </w:rPr>
              <w:t>orden</w:t>
            </w:r>
            <w:r w:rsidR="002D738A" w:rsidRPr="00081C2E">
              <w:rPr>
                <w:rFonts w:ascii="Arial Narrow" w:hAnsi="Arial Narrow" w:cs="Arial"/>
                <w:sz w:val="22"/>
                <w:szCs w:val="22"/>
              </w:rPr>
              <w:t xml:space="preserve"> económico y social de su población. </w:t>
            </w:r>
            <w:r w:rsidR="00BC4E8C" w:rsidRPr="00081C2E">
              <w:rPr>
                <w:rFonts w:ascii="Arial Narrow" w:hAnsi="Arial Narrow" w:cs="Arial"/>
                <w:sz w:val="22"/>
                <w:szCs w:val="22"/>
              </w:rPr>
              <w:t>I</w:t>
            </w:r>
            <w:r w:rsidR="002D738A" w:rsidRPr="00081C2E">
              <w:rPr>
                <w:rFonts w:ascii="Arial Narrow" w:hAnsi="Arial Narrow" w:cs="Arial"/>
                <w:sz w:val="22"/>
                <w:szCs w:val="22"/>
              </w:rPr>
              <w:t>gualmente</w:t>
            </w:r>
            <w:r w:rsidR="00DE2C39" w:rsidRPr="00081C2E">
              <w:rPr>
                <w:rFonts w:ascii="Arial Narrow" w:hAnsi="Arial Narrow" w:cs="Arial"/>
                <w:sz w:val="22"/>
                <w:szCs w:val="22"/>
              </w:rPr>
              <w:t>,</w:t>
            </w:r>
            <w:r w:rsidR="002D738A" w:rsidRPr="00081C2E">
              <w:rPr>
                <w:rFonts w:ascii="Arial Narrow" w:hAnsi="Arial Narrow" w:cs="Arial"/>
                <w:sz w:val="22"/>
                <w:szCs w:val="22"/>
              </w:rPr>
              <w:t xml:space="preserve"> </w:t>
            </w:r>
            <w:r w:rsidR="00BC4E8C" w:rsidRPr="00081C2E">
              <w:rPr>
                <w:rFonts w:ascii="Arial Narrow" w:hAnsi="Arial Narrow" w:cs="Arial"/>
                <w:sz w:val="22"/>
                <w:szCs w:val="22"/>
              </w:rPr>
              <w:t>en</w:t>
            </w:r>
            <w:r w:rsidR="002D738A" w:rsidRPr="00081C2E">
              <w:rPr>
                <w:rFonts w:ascii="Arial Narrow" w:hAnsi="Arial Narrow" w:cs="Arial"/>
                <w:sz w:val="22"/>
                <w:szCs w:val="22"/>
              </w:rPr>
              <w:t xml:space="preserve"> la Isla de San Andrés, se genera</w:t>
            </w:r>
            <w:r w:rsidR="00BC4E8C" w:rsidRPr="00081C2E">
              <w:rPr>
                <w:rFonts w:ascii="Arial Narrow" w:hAnsi="Arial Narrow" w:cs="Arial"/>
                <w:sz w:val="22"/>
                <w:szCs w:val="22"/>
              </w:rPr>
              <w:t>ron</w:t>
            </w:r>
            <w:r w:rsidR="002D738A" w:rsidRPr="00081C2E">
              <w:rPr>
                <w:rFonts w:ascii="Arial Narrow" w:hAnsi="Arial Narrow" w:cs="Arial"/>
                <w:sz w:val="22"/>
                <w:szCs w:val="22"/>
              </w:rPr>
              <w:t xml:space="preserve"> afectaciones de gran magnitud, que afectan las condiciones normales de los habitantes de </w:t>
            </w:r>
            <w:proofErr w:type="gramStart"/>
            <w:r w:rsidR="002D738A" w:rsidRPr="00081C2E">
              <w:rPr>
                <w:rFonts w:ascii="Arial Narrow" w:hAnsi="Arial Narrow" w:cs="Arial"/>
                <w:sz w:val="22"/>
                <w:szCs w:val="22"/>
              </w:rPr>
              <w:t>la misma</w:t>
            </w:r>
            <w:proofErr w:type="gramEnd"/>
            <w:r w:rsidR="002D738A" w:rsidRPr="00081C2E">
              <w:rPr>
                <w:rFonts w:ascii="Arial Narrow" w:hAnsi="Arial Narrow" w:cs="Arial"/>
                <w:sz w:val="22"/>
                <w:szCs w:val="22"/>
              </w:rPr>
              <w:t>, lo cual hace que se requieran tomar medidas excepcionales que permitan conjurar la crisis en todo el departamento</w:t>
            </w:r>
            <w:r w:rsidR="003C299D">
              <w:rPr>
                <w:rFonts w:ascii="Arial Narrow" w:hAnsi="Arial Narrow" w:cs="Arial"/>
                <w:sz w:val="22"/>
                <w:szCs w:val="22"/>
              </w:rPr>
              <w:t xml:space="preserve">, razón por la que se expidió el </w:t>
            </w:r>
            <w:r w:rsidR="003C299D" w:rsidRPr="003C299D">
              <w:rPr>
                <w:rFonts w:ascii="Arial Narrow" w:hAnsi="Arial Narrow" w:cs="Arial"/>
                <w:sz w:val="22"/>
                <w:szCs w:val="22"/>
              </w:rPr>
              <w:t xml:space="preserve">Decreto 1472 del 18 de noviembre de 2020, por el cual se declara la existencia de una situación de Desastre en </w:t>
            </w:r>
            <w:r w:rsidR="00EB4A8D">
              <w:rPr>
                <w:rFonts w:ascii="Arial Narrow" w:hAnsi="Arial Narrow" w:cs="Arial"/>
                <w:sz w:val="22"/>
                <w:szCs w:val="22"/>
              </w:rPr>
              <w:t xml:space="preserve">dicho </w:t>
            </w:r>
            <w:r w:rsidR="003C299D" w:rsidRPr="003C299D">
              <w:rPr>
                <w:rFonts w:ascii="Arial Narrow" w:hAnsi="Arial Narrow" w:cs="Arial"/>
                <w:sz w:val="22"/>
                <w:szCs w:val="22"/>
              </w:rPr>
              <w:t>Departamento</w:t>
            </w:r>
            <w:r w:rsidR="003C299D">
              <w:rPr>
                <w:rFonts w:ascii="Arial Narrow" w:hAnsi="Arial Narrow" w:cs="Arial"/>
                <w:sz w:val="22"/>
                <w:szCs w:val="22"/>
              </w:rPr>
              <w:t>.</w:t>
            </w:r>
          </w:p>
          <w:p w14:paraId="4B21A103" w14:textId="77777777" w:rsidR="002D738A" w:rsidRPr="00081C2E" w:rsidRDefault="002D738A" w:rsidP="002D738A">
            <w:pPr>
              <w:ind w:left="494"/>
              <w:jc w:val="both"/>
              <w:rPr>
                <w:rFonts w:ascii="Arial Narrow" w:hAnsi="Arial Narrow" w:cs="Arial"/>
                <w:sz w:val="22"/>
                <w:szCs w:val="22"/>
              </w:rPr>
            </w:pPr>
          </w:p>
          <w:p w14:paraId="6BF62925" w14:textId="753E404F" w:rsidR="00F96790" w:rsidRDefault="00F96790" w:rsidP="00F96790">
            <w:pPr>
              <w:ind w:left="494"/>
              <w:jc w:val="both"/>
              <w:rPr>
                <w:rFonts w:ascii="Arial Narrow" w:hAnsi="Arial Narrow" w:cs="Arial"/>
                <w:sz w:val="22"/>
                <w:szCs w:val="22"/>
              </w:rPr>
            </w:pPr>
            <w:r w:rsidRPr="00F96790">
              <w:rPr>
                <w:rFonts w:ascii="Arial Narrow" w:hAnsi="Arial Narrow" w:cs="Arial"/>
                <w:sz w:val="22"/>
                <w:szCs w:val="22"/>
              </w:rPr>
              <w:t>En</w:t>
            </w:r>
            <w:r w:rsidR="006B515A">
              <w:rPr>
                <w:rFonts w:ascii="Arial Narrow" w:hAnsi="Arial Narrow" w:cs="Arial"/>
                <w:sz w:val="22"/>
                <w:szCs w:val="22"/>
              </w:rPr>
              <w:t xml:space="preserve"> este sentido, </w:t>
            </w:r>
            <w:r w:rsidRPr="00F96790">
              <w:rPr>
                <w:rFonts w:ascii="Arial Narrow" w:hAnsi="Arial Narrow" w:cs="Arial"/>
                <w:sz w:val="22"/>
                <w:szCs w:val="22"/>
              </w:rPr>
              <w:t>el artículo 59 de la Ley 1523 de 2012</w:t>
            </w:r>
            <w:r w:rsidR="006B515A">
              <w:rPr>
                <w:rFonts w:ascii="Arial Narrow" w:hAnsi="Arial Narrow" w:cs="Arial"/>
                <w:sz w:val="22"/>
                <w:szCs w:val="22"/>
              </w:rPr>
              <w:t xml:space="preserve"> estableció en </w:t>
            </w:r>
            <w:r w:rsidR="006B515A" w:rsidRPr="00F96790">
              <w:rPr>
                <w:rFonts w:ascii="Arial Narrow" w:hAnsi="Arial Narrow" w:cs="Arial"/>
                <w:sz w:val="22"/>
                <w:szCs w:val="22"/>
              </w:rPr>
              <w:t>relación con los criterios para la declaratoria de desastre</w:t>
            </w:r>
            <w:r w:rsidRPr="00F96790">
              <w:rPr>
                <w:rFonts w:ascii="Arial Narrow" w:hAnsi="Arial Narrow" w:cs="Arial"/>
                <w:sz w:val="22"/>
                <w:szCs w:val="22"/>
              </w:rPr>
              <w:t xml:space="preserve"> que “la autoridad política que declare la situación de desastre o calamidad, según sea el caso, tendrá en consideración los siguientes criterios (…) 2. Los bienes jurídicos de la colectividad y las instituciones en peligro o que han sufrido daños. Entre los bienes jurídicos así protegidos se cuentan el orden público material, social, económico y ambiental, la vigencia de las instituciones, políticas y administrativas, la prestación de los servicios públicos esenciales, la integridad de las redes vitales y la infraestructura básica. (…)”.</w:t>
            </w:r>
          </w:p>
          <w:p w14:paraId="7035FD59" w14:textId="77777777" w:rsidR="006B515A" w:rsidRPr="00F96790" w:rsidRDefault="006B515A" w:rsidP="00F96790">
            <w:pPr>
              <w:ind w:left="494"/>
              <w:jc w:val="both"/>
              <w:rPr>
                <w:rFonts w:ascii="Arial Narrow" w:hAnsi="Arial Narrow" w:cs="Arial"/>
                <w:sz w:val="22"/>
                <w:szCs w:val="22"/>
              </w:rPr>
            </w:pPr>
          </w:p>
          <w:p w14:paraId="5D956840" w14:textId="57B21C27" w:rsidR="00F96790" w:rsidRDefault="00263A6B" w:rsidP="00F96790">
            <w:pPr>
              <w:ind w:left="494"/>
              <w:jc w:val="both"/>
              <w:rPr>
                <w:rFonts w:ascii="Arial Narrow" w:hAnsi="Arial Narrow" w:cs="Arial"/>
                <w:sz w:val="22"/>
                <w:szCs w:val="22"/>
              </w:rPr>
            </w:pPr>
            <w:r>
              <w:rPr>
                <w:rFonts w:ascii="Arial Narrow" w:hAnsi="Arial Narrow" w:cs="Arial"/>
                <w:sz w:val="22"/>
                <w:szCs w:val="22"/>
              </w:rPr>
              <w:t>Igualmente</w:t>
            </w:r>
            <w:r w:rsidR="006B515A">
              <w:rPr>
                <w:rFonts w:ascii="Arial Narrow" w:hAnsi="Arial Narrow" w:cs="Arial"/>
                <w:sz w:val="22"/>
                <w:szCs w:val="22"/>
              </w:rPr>
              <w:t>,</w:t>
            </w:r>
            <w:r w:rsidR="00F96790" w:rsidRPr="00F96790">
              <w:rPr>
                <w:rFonts w:ascii="Arial Narrow" w:hAnsi="Arial Narrow" w:cs="Arial"/>
                <w:sz w:val="22"/>
                <w:szCs w:val="22"/>
              </w:rPr>
              <w:t xml:space="preserve"> </w:t>
            </w:r>
            <w:r w:rsidR="00EB4A8D">
              <w:rPr>
                <w:rFonts w:ascii="Arial Narrow" w:hAnsi="Arial Narrow" w:cs="Arial"/>
                <w:sz w:val="22"/>
                <w:szCs w:val="22"/>
              </w:rPr>
              <w:t>el</w:t>
            </w:r>
            <w:r w:rsidR="00C02959">
              <w:rPr>
                <w:rFonts w:ascii="Arial Narrow" w:hAnsi="Arial Narrow" w:cs="Arial"/>
                <w:sz w:val="22"/>
                <w:szCs w:val="22"/>
              </w:rPr>
              <w:t xml:space="preserve"> </w:t>
            </w:r>
            <w:r w:rsidR="00F96790" w:rsidRPr="00F96790">
              <w:rPr>
                <w:rFonts w:ascii="Arial Narrow" w:hAnsi="Arial Narrow" w:cs="Arial"/>
                <w:sz w:val="22"/>
                <w:szCs w:val="22"/>
              </w:rPr>
              <w:t>artículo 4 del Decreto 1472 de 2020 dispuso dentro de las líneas de acción que deberán incorporarse para el manejo de la situación de desastre, entre otras, la referida a “10. Continuidad de la prestación de los servicios públicos y de telecomunicaciones”.</w:t>
            </w:r>
          </w:p>
          <w:p w14:paraId="4C88C596" w14:textId="77777777" w:rsidR="006B515A" w:rsidRPr="00F96790" w:rsidRDefault="006B515A" w:rsidP="00F96790">
            <w:pPr>
              <w:ind w:left="494"/>
              <w:jc w:val="both"/>
              <w:rPr>
                <w:rFonts w:ascii="Arial Narrow" w:hAnsi="Arial Narrow" w:cs="Arial"/>
                <w:sz w:val="22"/>
                <w:szCs w:val="22"/>
              </w:rPr>
            </w:pPr>
          </w:p>
          <w:p w14:paraId="236DD7FE" w14:textId="26DE66A6" w:rsidR="0014177B" w:rsidRPr="00081C2E" w:rsidRDefault="0014177B" w:rsidP="0014177B">
            <w:pPr>
              <w:ind w:left="494"/>
              <w:jc w:val="both"/>
              <w:rPr>
                <w:rFonts w:ascii="Arial Narrow" w:hAnsi="Arial Narrow" w:cs="Arial"/>
                <w:sz w:val="22"/>
                <w:szCs w:val="22"/>
              </w:rPr>
            </w:pPr>
          </w:p>
          <w:p w14:paraId="10BD7BA2" w14:textId="59DE8E37" w:rsidR="0014177B" w:rsidRPr="00081C2E" w:rsidRDefault="00ED3400" w:rsidP="00EB4A8D">
            <w:pPr>
              <w:ind w:left="494"/>
              <w:jc w:val="both"/>
              <w:rPr>
                <w:rFonts w:ascii="Arial Narrow" w:hAnsi="Arial Narrow" w:cs="Arial"/>
                <w:sz w:val="22"/>
                <w:szCs w:val="22"/>
              </w:rPr>
            </w:pPr>
            <w:r w:rsidRPr="00081C2E">
              <w:rPr>
                <w:rFonts w:ascii="Arial Narrow" w:hAnsi="Arial Narrow" w:cs="Arial"/>
                <w:sz w:val="22"/>
                <w:szCs w:val="22"/>
              </w:rPr>
              <w:t>Así las cosas, e</w:t>
            </w:r>
            <w:r w:rsidR="0014177B" w:rsidRPr="00081C2E">
              <w:rPr>
                <w:rFonts w:ascii="Arial Narrow" w:hAnsi="Arial Narrow" w:cs="Arial"/>
                <w:sz w:val="22"/>
                <w:szCs w:val="22"/>
              </w:rPr>
              <w:t xml:space="preserve">s de interés del Gobierno nacional, desde el Ministerio de Tecnologías de la Información y las Comunicaciones </w:t>
            </w:r>
            <w:r w:rsidR="00EB4A8D">
              <w:rPr>
                <w:rFonts w:ascii="Arial Narrow" w:hAnsi="Arial Narrow" w:cs="Arial"/>
                <w:sz w:val="22"/>
                <w:szCs w:val="22"/>
              </w:rPr>
              <w:t xml:space="preserve"> disminuir el</w:t>
            </w:r>
            <w:r w:rsidR="00EB4A8D" w:rsidRPr="00F96790">
              <w:rPr>
                <w:rFonts w:ascii="Arial Narrow" w:hAnsi="Arial Narrow" w:cs="Arial"/>
                <w:sz w:val="22"/>
                <w:szCs w:val="22"/>
              </w:rPr>
              <w:t xml:space="preserve"> rezago en el despliegue de infraestructura para el servicio móvil</w:t>
            </w:r>
            <w:r w:rsidR="00EB4A8D">
              <w:rPr>
                <w:rFonts w:ascii="Arial Narrow" w:hAnsi="Arial Narrow" w:cs="Arial"/>
                <w:sz w:val="22"/>
                <w:szCs w:val="22"/>
              </w:rPr>
              <w:t xml:space="preserve">, así como </w:t>
            </w:r>
            <w:r w:rsidR="0014177B" w:rsidRPr="00081C2E">
              <w:rPr>
                <w:rFonts w:ascii="Arial Narrow" w:hAnsi="Arial Narrow" w:cs="Arial"/>
                <w:sz w:val="22"/>
                <w:szCs w:val="22"/>
              </w:rPr>
              <w:t>garantizar la continuidad de los servicios de telecomunicaciones</w:t>
            </w:r>
            <w:r w:rsidR="00EB4A8D">
              <w:rPr>
                <w:rFonts w:ascii="Arial Narrow" w:hAnsi="Arial Narrow" w:cs="Arial"/>
                <w:sz w:val="22"/>
                <w:szCs w:val="22"/>
              </w:rPr>
              <w:t xml:space="preserve"> y </w:t>
            </w:r>
            <w:r w:rsidR="0014177B" w:rsidRPr="00081C2E">
              <w:rPr>
                <w:rFonts w:ascii="Arial Narrow" w:hAnsi="Arial Narrow" w:cs="Arial"/>
                <w:sz w:val="22"/>
                <w:szCs w:val="22"/>
              </w:rPr>
              <w:t xml:space="preserve">facilitar la recuperación de la infraestructura para la prestación de los mismos servicios en el departamento del Archipiélago de San Andrés, Providencia y Santa Catalina, </w:t>
            </w:r>
            <w:r w:rsidR="00EB4A8D">
              <w:rPr>
                <w:rFonts w:ascii="Arial Narrow" w:hAnsi="Arial Narrow" w:cs="Arial"/>
                <w:sz w:val="22"/>
                <w:szCs w:val="22"/>
              </w:rPr>
              <w:t xml:space="preserve">razón por la que </w:t>
            </w:r>
            <w:r w:rsidR="0014177B" w:rsidRPr="00081C2E">
              <w:rPr>
                <w:rFonts w:ascii="Arial Narrow" w:hAnsi="Arial Narrow" w:cs="Arial"/>
                <w:sz w:val="22"/>
                <w:szCs w:val="22"/>
              </w:rPr>
              <w:t>se hace necesario disminu</w:t>
            </w:r>
            <w:r w:rsidR="00F813D1" w:rsidRPr="00081C2E">
              <w:rPr>
                <w:rFonts w:ascii="Arial Narrow" w:hAnsi="Arial Narrow" w:cs="Arial"/>
                <w:sz w:val="22"/>
                <w:szCs w:val="22"/>
              </w:rPr>
              <w:t>ir</w:t>
            </w:r>
            <w:r w:rsidR="0014177B" w:rsidRPr="00081C2E">
              <w:rPr>
                <w:rFonts w:ascii="Arial Narrow" w:hAnsi="Arial Narrow" w:cs="Arial"/>
                <w:sz w:val="22"/>
                <w:szCs w:val="22"/>
              </w:rPr>
              <w:t xml:space="preserve"> el valor de la contraprestación económica por el permiso para uso del espectro radioeléctrico para los enlaces punto a punto asignados </w:t>
            </w:r>
            <w:r w:rsidR="006E42F2" w:rsidRPr="00081C2E">
              <w:rPr>
                <w:rFonts w:ascii="Arial Narrow" w:hAnsi="Arial Narrow" w:cs="Arial"/>
                <w:sz w:val="22"/>
                <w:szCs w:val="22"/>
              </w:rPr>
              <w:t xml:space="preserve">en el </w:t>
            </w:r>
            <w:r w:rsidR="00006B93" w:rsidRPr="00081C2E">
              <w:rPr>
                <w:rFonts w:ascii="Arial Narrow" w:hAnsi="Arial Narrow" w:cs="Arial"/>
                <w:sz w:val="22"/>
                <w:szCs w:val="22"/>
              </w:rPr>
              <w:t>ente territorial.</w:t>
            </w:r>
          </w:p>
          <w:p w14:paraId="6DBFECE7" w14:textId="77777777" w:rsidR="002E4A97" w:rsidRPr="00081C2E" w:rsidRDefault="002E4A97" w:rsidP="00C70E5D">
            <w:pPr>
              <w:jc w:val="both"/>
              <w:rPr>
                <w:rFonts w:ascii="Arial Narrow" w:eastAsia="Calibri" w:hAnsi="Arial Narrow" w:cs="Arial"/>
                <w:sz w:val="22"/>
                <w:szCs w:val="22"/>
                <w:lang w:eastAsia="en-US"/>
              </w:rPr>
            </w:pPr>
          </w:p>
        </w:tc>
      </w:tr>
      <w:tr w:rsidR="00081C2E" w:rsidRPr="00081C2E" w14:paraId="6DBFECEA" w14:textId="77777777" w:rsidTr="0075705D">
        <w:trPr>
          <w:trHeight w:val="47"/>
        </w:trPr>
        <w:tc>
          <w:tcPr>
            <w:tcW w:w="10774" w:type="dxa"/>
            <w:gridSpan w:val="3"/>
            <w:shd w:val="clear" w:color="auto" w:fill="FFFFFF"/>
            <w:vAlign w:val="center"/>
          </w:tcPr>
          <w:p w14:paraId="6DBFECE9" w14:textId="77777777" w:rsidR="00251FCE" w:rsidRPr="00081C2E" w:rsidRDefault="00251FCE" w:rsidP="0075705D">
            <w:pPr>
              <w:jc w:val="both"/>
              <w:rPr>
                <w:rFonts w:ascii="Arial Narrow" w:hAnsi="Arial Narrow" w:cs="Arial"/>
                <w:sz w:val="22"/>
                <w:szCs w:val="22"/>
                <w:lang w:eastAsia="es-CO"/>
              </w:rPr>
            </w:pPr>
          </w:p>
        </w:tc>
      </w:tr>
      <w:tr w:rsidR="00081C2E" w:rsidRPr="00081C2E" w14:paraId="6DBFECF0"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DBFECEB" w14:textId="6D56F2CA" w:rsidR="00DF60FD" w:rsidRPr="00081C2E" w:rsidRDefault="00DF60FD" w:rsidP="00BD29E8">
            <w:pPr>
              <w:numPr>
                <w:ilvl w:val="0"/>
                <w:numId w:val="44"/>
              </w:numPr>
              <w:ind w:left="494"/>
              <w:jc w:val="both"/>
              <w:rPr>
                <w:rFonts w:ascii="Arial Narrow" w:hAnsi="Arial Narrow" w:cs="Arial"/>
                <w:b/>
                <w:sz w:val="22"/>
                <w:szCs w:val="22"/>
              </w:rPr>
            </w:pPr>
            <w:r w:rsidRPr="00081C2E">
              <w:rPr>
                <w:rFonts w:ascii="Arial Narrow" w:hAnsi="Arial Narrow" w:cs="Arial"/>
                <w:b/>
                <w:sz w:val="22"/>
                <w:szCs w:val="22"/>
              </w:rPr>
              <w:t>AMBITO DE APLICACIÓN Y SUJETO</w:t>
            </w:r>
            <w:r w:rsidR="00795C6B" w:rsidRPr="00081C2E">
              <w:rPr>
                <w:rFonts w:ascii="Arial Narrow" w:hAnsi="Arial Narrow" w:cs="Arial"/>
                <w:b/>
                <w:sz w:val="22"/>
                <w:szCs w:val="22"/>
              </w:rPr>
              <w:t>S</w:t>
            </w:r>
            <w:r w:rsidRPr="00081C2E">
              <w:rPr>
                <w:rFonts w:ascii="Arial Narrow" w:hAnsi="Arial Narrow" w:cs="Arial"/>
                <w:b/>
                <w:sz w:val="22"/>
                <w:szCs w:val="22"/>
              </w:rPr>
              <w:t xml:space="preserve"> A QUIEN</w:t>
            </w:r>
            <w:r w:rsidR="00795C6B" w:rsidRPr="00081C2E">
              <w:rPr>
                <w:rFonts w:ascii="Arial Narrow" w:hAnsi="Arial Narrow" w:cs="Arial"/>
                <w:b/>
                <w:sz w:val="22"/>
                <w:szCs w:val="22"/>
              </w:rPr>
              <w:t>ES</w:t>
            </w:r>
            <w:r w:rsidRPr="00081C2E">
              <w:rPr>
                <w:rFonts w:ascii="Arial Narrow" w:hAnsi="Arial Narrow" w:cs="Arial"/>
                <w:b/>
                <w:sz w:val="22"/>
                <w:szCs w:val="22"/>
              </w:rPr>
              <w:t xml:space="preserve"> VA DIRIGIDO</w:t>
            </w:r>
          </w:p>
          <w:p w14:paraId="3BAD174F" w14:textId="77777777" w:rsidR="00BA5F95" w:rsidRPr="00081C2E" w:rsidRDefault="00BA5F95" w:rsidP="00BD29E8">
            <w:pPr>
              <w:ind w:left="494"/>
              <w:jc w:val="both"/>
              <w:rPr>
                <w:rFonts w:ascii="Arial Narrow" w:hAnsi="Arial Narrow" w:cs="Arial"/>
                <w:b/>
                <w:sz w:val="22"/>
                <w:szCs w:val="22"/>
              </w:rPr>
            </w:pPr>
          </w:p>
          <w:p w14:paraId="6DBFECEE" w14:textId="55698D6A" w:rsidR="00795C6B" w:rsidRPr="00081C2E" w:rsidRDefault="00C23F63" w:rsidP="00BB276D">
            <w:pPr>
              <w:ind w:left="494"/>
              <w:jc w:val="both"/>
              <w:rPr>
                <w:rFonts w:ascii="Arial Narrow" w:hAnsi="Arial Narrow" w:cs="Arial"/>
                <w:b/>
                <w:sz w:val="22"/>
                <w:szCs w:val="22"/>
              </w:rPr>
            </w:pPr>
            <w:r w:rsidRPr="00081C2E">
              <w:rPr>
                <w:rFonts w:ascii="Arial Narrow" w:hAnsi="Arial Narrow" w:cs="Arial"/>
                <w:sz w:val="22"/>
                <w:szCs w:val="22"/>
              </w:rPr>
              <w:t xml:space="preserve">El ámbito de aplicación de esta reforma a las contraprestaciones </w:t>
            </w:r>
            <w:r w:rsidR="008B78C7" w:rsidRPr="00081C2E">
              <w:rPr>
                <w:rFonts w:ascii="Arial Narrow" w:hAnsi="Arial Narrow" w:cs="Arial"/>
                <w:sz w:val="22"/>
                <w:szCs w:val="22"/>
              </w:rPr>
              <w:t>para enlaces punto a punto en el departamento del Archipiélago de San Andrés, Providencia y Santa Catalina</w:t>
            </w:r>
            <w:r w:rsidR="0081092C" w:rsidRPr="00081C2E">
              <w:rPr>
                <w:rFonts w:ascii="Arial Narrow" w:hAnsi="Arial Narrow" w:cs="Arial"/>
                <w:sz w:val="22"/>
                <w:szCs w:val="22"/>
              </w:rPr>
              <w:t xml:space="preserve">, </w:t>
            </w:r>
            <w:r w:rsidR="00AC6889" w:rsidRPr="00081C2E">
              <w:rPr>
                <w:rFonts w:ascii="Arial Narrow" w:hAnsi="Arial Narrow" w:cs="Arial"/>
                <w:sz w:val="22"/>
                <w:szCs w:val="22"/>
              </w:rPr>
              <w:t xml:space="preserve">son todos aquellos PRST que hagan uso de permisos de uso del espectro para enlaces punto a punto en el departamento </w:t>
            </w:r>
            <w:r w:rsidR="00E233BC" w:rsidRPr="00081C2E">
              <w:rPr>
                <w:rFonts w:ascii="Arial Narrow" w:hAnsi="Arial Narrow" w:cs="Arial"/>
                <w:sz w:val="22"/>
                <w:szCs w:val="22"/>
              </w:rPr>
              <w:t>mencionado.</w:t>
            </w:r>
          </w:p>
          <w:p w14:paraId="6DBFECEF" w14:textId="77777777" w:rsidR="00795C6B" w:rsidRPr="00081C2E" w:rsidRDefault="00795C6B" w:rsidP="00BD29E8">
            <w:pPr>
              <w:jc w:val="both"/>
              <w:rPr>
                <w:rFonts w:ascii="Arial Narrow" w:hAnsi="Arial Narrow" w:cs="Arial"/>
                <w:iCs/>
                <w:sz w:val="22"/>
                <w:szCs w:val="22"/>
              </w:rPr>
            </w:pPr>
          </w:p>
        </w:tc>
      </w:tr>
      <w:tr w:rsidR="00081C2E" w:rsidRPr="00081C2E" w14:paraId="6DBFED01" w14:textId="77777777" w:rsidTr="0075705D">
        <w:trPr>
          <w:trHeight w:val="278"/>
        </w:trPr>
        <w:tc>
          <w:tcPr>
            <w:tcW w:w="10774" w:type="dxa"/>
            <w:gridSpan w:val="3"/>
            <w:tcBorders>
              <w:bottom w:val="single" w:sz="4" w:space="0" w:color="auto"/>
            </w:tcBorders>
            <w:shd w:val="clear" w:color="auto" w:fill="FFFFFF"/>
            <w:vAlign w:val="center"/>
          </w:tcPr>
          <w:p w14:paraId="6DBFECF1" w14:textId="77777777" w:rsidR="00DF60FD" w:rsidRPr="00081C2E" w:rsidRDefault="00795C6B" w:rsidP="00BD29E8">
            <w:pPr>
              <w:ind w:left="494" w:hanging="283"/>
              <w:jc w:val="both"/>
              <w:rPr>
                <w:rFonts w:ascii="Arial Narrow" w:hAnsi="Arial Narrow" w:cs="Arial"/>
                <w:b/>
                <w:sz w:val="22"/>
                <w:szCs w:val="22"/>
              </w:rPr>
            </w:pPr>
            <w:r w:rsidRPr="00081C2E">
              <w:rPr>
                <w:rFonts w:ascii="Arial Narrow" w:hAnsi="Arial Narrow" w:cs="Arial"/>
                <w:b/>
                <w:sz w:val="22"/>
                <w:szCs w:val="22"/>
              </w:rPr>
              <w:t xml:space="preserve">3. </w:t>
            </w:r>
            <w:r w:rsidR="00DF60FD" w:rsidRPr="00081C2E">
              <w:rPr>
                <w:rFonts w:ascii="Arial Narrow" w:hAnsi="Arial Narrow" w:cs="Arial"/>
                <w:b/>
                <w:sz w:val="22"/>
                <w:szCs w:val="22"/>
              </w:rPr>
              <w:t>VIABILIDAD JURÍDICA</w:t>
            </w:r>
          </w:p>
          <w:p w14:paraId="6DBFECF3" w14:textId="77777777" w:rsidR="00D05B67" w:rsidRPr="00081C2E" w:rsidRDefault="00D05B67" w:rsidP="00BD29E8">
            <w:pPr>
              <w:ind w:left="494" w:hanging="283"/>
              <w:jc w:val="both"/>
              <w:rPr>
                <w:rFonts w:ascii="Arial Narrow" w:hAnsi="Arial Narrow" w:cs="Arial"/>
                <w:i/>
                <w:sz w:val="22"/>
                <w:szCs w:val="22"/>
              </w:rPr>
            </w:pPr>
          </w:p>
          <w:p w14:paraId="6DBFECF4" w14:textId="353BB203" w:rsidR="00795C6B" w:rsidRPr="00081C2E" w:rsidRDefault="00795C6B" w:rsidP="006B5225">
            <w:pPr>
              <w:ind w:left="494" w:hanging="283"/>
              <w:jc w:val="both"/>
              <w:rPr>
                <w:rFonts w:ascii="Arial Narrow" w:hAnsi="Arial Narrow" w:cs="Arial"/>
                <w:sz w:val="22"/>
                <w:szCs w:val="22"/>
                <w:lang w:val="es-CO" w:eastAsia="es-CO"/>
              </w:rPr>
            </w:pPr>
            <w:r w:rsidRPr="00081C2E">
              <w:rPr>
                <w:rFonts w:ascii="Arial Narrow" w:hAnsi="Arial Narrow" w:cs="Arial"/>
                <w:sz w:val="22"/>
                <w:szCs w:val="22"/>
                <w:lang w:val="es-CO" w:eastAsia="es-CO"/>
              </w:rPr>
              <w:t>3.1 Análisis de las normas que otorgan la competencia para la expedición del proyecto normativo</w:t>
            </w:r>
          </w:p>
          <w:p w14:paraId="4E28FA73" w14:textId="151CF40F" w:rsidR="00B7789F" w:rsidRPr="00081C2E" w:rsidRDefault="00B7789F" w:rsidP="006B5225">
            <w:pPr>
              <w:ind w:left="494" w:hanging="283"/>
              <w:jc w:val="both"/>
              <w:rPr>
                <w:rFonts w:ascii="Arial Narrow" w:hAnsi="Arial Narrow" w:cs="Arial"/>
                <w:sz w:val="22"/>
                <w:szCs w:val="22"/>
                <w:lang w:val="es-CO" w:eastAsia="es-CO"/>
              </w:rPr>
            </w:pPr>
          </w:p>
          <w:p w14:paraId="18515863" w14:textId="4B08AC48" w:rsidR="00DD6519" w:rsidRPr="00081C2E" w:rsidRDefault="00DD6519" w:rsidP="00DD6519">
            <w:pPr>
              <w:jc w:val="both"/>
              <w:rPr>
                <w:rFonts w:ascii="Arial Narrow" w:hAnsi="Arial Narrow" w:cs="Arial"/>
                <w:sz w:val="22"/>
                <w:szCs w:val="22"/>
              </w:rPr>
            </w:pPr>
            <w:r w:rsidRPr="00081C2E">
              <w:rPr>
                <w:rFonts w:ascii="Arial Narrow" w:hAnsi="Arial Narrow" w:cs="Arial"/>
                <w:sz w:val="22"/>
                <w:szCs w:val="22"/>
              </w:rPr>
              <w:t>El artículo 13 de la Ley 1341 de 2009, modificado por el artículo 10 de la Ley 1978 de 2019, señala que la utilización del espectro radioeléctrico por los proveedores de redes y servicios de telecomunicaciones dará lugar a una contraprestación económica a favor del Fondo Único de Tecnologías de la Información y las Comunicaciones.</w:t>
            </w:r>
          </w:p>
          <w:p w14:paraId="03B889D6" w14:textId="77777777" w:rsidR="00DD6519" w:rsidRPr="00081C2E" w:rsidRDefault="00DD6519" w:rsidP="00DD6519">
            <w:pPr>
              <w:jc w:val="both"/>
              <w:rPr>
                <w:rFonts w:ascii="Arial Narrow" w:hAnsi="Arial Narrow" w:cs="Arial"/>
                <w:sz w:val="22"/>
                <w:szCs w:val="22"/>
              </w:rPr>
            </w:pPr>
          </w:p>
          <w:p w14:paraId="598C8F3D" w14:textId="71814869" w:rsidR="00DD6519" w:rsidRPr="00081C2E" w:rsidRDefault="00CA0C52" w:rsidP="00DD6519">
            <w:pPr>
              <w:jc w:val="both"/>
              <w:rPr>
                <w:rFonts w:ascii="Arial Narrow" w:hAnsi="Arial Narrow" w:cs="Arial"/>
                <w:sz w:val="22"/>
                <w:szCs w:val="22"/>
              </w:rPr>
            </w:pPr>
            <w:r w:rsidRPr="00081C2E">
              <w:rPr>
                <w:rFonts w:ascii="Arial Narrow" w:hAnsi="Arial Narrow" w:cs="Arial"/>
                <w:sz w:val="22"/>
                <w:szCs w:val="22"/>
              </w:rPr>
              <w:t xml:space="preserve">Así mismo el </w:t>
            </w:r>
            <w:r w:rsidR="00DD6519" w:rsidRPr="00081C2E">
              <w:rPr>
                <w:rFonts w:ascii="Arial Narrow" w:hAnsi="Arial Narrow" w:cs="Arial"/>
                <w:sz w:val="22"/>
                <w:szCs w:val="22"/>
              </w:rPr>
              <w:t>artículo citado anteriormente dispone que la contraprestación económica se fijará mediante resolución por el Ministro de Tecnologías de la Información y las Comunicaciones, con fundamento en criterios de fomento a la inversión, la maximización del bienestar social, el estado de cierre de la brecha digital, así como, entre otros, en los siguientes aspectos: ancho de banda asignado, número de usuarios potenciales, disponibilidad del servicio, planes de expansión y cobertura, demanda por el espectro y su disponibilidad y cualquier otro parámetro técnico que sirva como indicador del valor que debe recibir el Estado por la utilización del espectro radioeléctrico.</w:t>
            </w:r>
          </w:p>
          <w:p w14:paraId="005FEF5B" w14:textId="77777777" w:rsidR="00DD6519" w:rsidRPr="00081C2E" w:rsidRDefault="00DD6519" w:rsidP="00DD6519">
            <w:pPr>
              <w:jc w:val="both"/>
              <w:rPr>
                <w:rFonts w:ascii="Arial Narrow" w:hAnsi="Arial Narrow" w:cs="Arial"/>
                <w:sz w:val="22"/>
                <w:szCs w:val="22"/>
              </w:rPr>
            </w:pPr>
          </w:p>
          <w:p w14:paraId="0E1B752E" w14:textId="4CF1AC66" w:rsidR="00B7789F" w:rsidRPr="00081C2E" w:rsidRDefault="00762068" w:rsidP="00DD6519">
            <w:pPr>
              <w:jc w:val="both"/>
              <w:rPr>
                <w:rFonts w:ascii="Arial Narrow" w:hAnsi="Arial Narrow" w:cs="Arial"/>
                <w:sz w:val="22"/>
                <w:szCs w:val="22"/>
              </w:rPr>
            </w:pPr>
            <w:r w:rsidRPr="00081C2E">
              <w:rPr>
                <w:rFonts w:ascii="Arial Narrow" w:hAnsi="Arial Narrow" w:cs="Arial"/>
                <w:sz w:val="22"/>
                <w:szCs w:val="22"/>
              </w:rPr>
              <w:t>Es este mismo sentido</w:t>
            </w:r>
            <w:r w:rsidR="00DD6519" w:rsidRPr="00081C2E">
              <w:rPr>
                <w:rFonts w:ascii="Arial Narrow" w:hAnsi="Arial Narrow" w:cs="Arial"/>
                <w:sz w:val="22"/>
                <w:szCs w:val="22"/>
              </w:rPr>
              <w:t xml:space="preserve"> el numeral 8 del artículo 18 de la Ley 1341 de 2009 </w:t>
            </w:r>
            <w:r w:rsidR="006369C6" w:rsidRPr="00081C2E">
              <w:rPr>
                <w:rFonts w:ascii="Arial Narrow" w:hAnsi="Arial Narrow" w:cs="Arial"/>
                <w:sz w:val="22"/>
                <w:szCs w:val="22"/>
              </w:rPr>
              <w:t xml:space="preserve">señala que </w:t>
            </w:r>
            <w:r w:rsidR="00DD6519" w:rsidRPr="00081C2E">
              <w:rPr>
                <w:rFonts w:ascii="Arial Narrow" w:hAnsi="Arial Narrow" w:cs="Arial"/>
                <w:sz w:val="22"/>
                <w:szCs w:val="22"/>
              </w:rPr>
              <w:t>corresponde al MinTIC la administración de las contraprestaciones y otras actuaciones administrativas que comporten el pago de derechos, mediante el desarrollo de las operaciones de liquidación, cobro y recaudo.</w:t>
            </w:r>
          </w:p>
          <w:p w14:paraId="4B7A4580" w14:textId="77777777" w:rsidR="00795C6B" w:rsidRPr="00081C2E" w:rsidRDefault="00795C6B" w:rsidP="00DD6519">
            <w:pPr>
              <w:jc w:val="both"/>
              <w:rPr>
                <w:rFonts w:ascii="Arial Narrow" w:hAnsi="Arial Narrow" w:cs="Arial"/>
                <w:sz w:val="22"/>
                <w:szCs w:val="22"/>
              </w:rPr>
            </w:pPr>
          </w:p>
          <w:p w14:paraId="6DBFECF6" w14:textId="030F2B12" w:rsidR="00795C6B" w:rsidRPr="00081C2E" w:rsidRDefault="00795C6B" w:rsidP="006B5225">
            <w:pPr>
              <w:ind w:left="494" w:hanging="283"/>
              <w:jc w:val="both"/>
              <w:rPr>
                <w:rFonts w:ascii="Arial Narrow" w:hAnsi="Arial Narrow" w:cs="Arial"/>
                <w:sz w:val="22"/>
                <w:szCs w:val="22"/>
                <w:lang w:val="es-CO" w:eastAsia="es-CO"/>
              </w:rPr>
            </w:pPr>
            <w:r w:rsidRPr="00081C2E">
              <w:rPr>
                <w:rFonts w:ascii="Arial Narrow" w:hAnsi="Arial Narrow" w:cs="Arial"/>
                <w:sz w:val="22"/>
                <w:szCs w:val="22"/>
                <w:lang w:val="es-CO" w:eastAsia="es-CO"/>
              </w:rPr>
              <w:t>3.2 Vigencia de la ley o norma reglamentada o desarrollada</w:t>
            </w:r>
          </w:p>
          <w:p w14:paraId="77F413C6" w14:textId="69A782A6" w:rsidR="00236FF0" w:rsidRPr="00081C2E" w:rsidRDefault="00236FF0" w:rsidP="006B5225">
            <w:pPr>
              <w:ind w:left="494" w:hanging="283"/>
              <w:jc w:val="both"/>
              <w:rPr>
                <w:rFonts w:ascii="Arial Narrow" w:hAnsi="Arial Narrow" w:cs="Arial"/>
                <w:sz w:val="22"/>
                <w:szCs w:val="22"/>
                <w:lang w:val="es-CO" w:eastAsia="es-CO"/>
              </w:rPr>
            </w:pPr>
          </w:p>
          <w:p w14:paraId="6DBFECF7" w14:textId="65DB0054" w:rsidR="00795C6B" w:rsidRPr="00081C2E" w:rsidRDefault="002D738A" w:rsidP="00BB276D">
            <w:pPr>
              <w:ind w:left="283" w:hanging="283"/>
              <w:jc w:val="both"/>
              <w:rPr>
                <w:rFonts w:ascii="Arial Narrow" w:hAnsi="Arial Narrow" w:cs="Arial"/>
                <w:sz w:val="22"/>
                <w:szCs w:val="22"/>
              </w:rPr>
            </w:pPr>
            <w:r w:rsidRPr="00081C2E">
              <w:rPr>
                <w:rFonts w:ascii="Arial Narrow" w:hAnsi="Arial Narrow" w:cs="Arial"/>
                <w:sz w:val="22"/>
                <w:szCs w:val="22"/>
              </w:rPr>
              <w:t>A partir de su publicación</w:t>
            </w:r>
          </w:p>
          <w:p w14:paraId="49D46F73" w14:textId="77777777" w:rsidR="001776F9" w:rsidRPr="00081C2E" w:rsidRDefault="001776F9" w:rsidP="006B5225">
            <w:pPr>
              <w:ind w:left="494" w:hanging="283"/>
              <w:jc w:val="both"/>
              <w:rPr>
                <w:rFonts w:ascii="Arial Narrow" w:hAnsi="Arial Narrow" w:cs="Arial"/>
                <w:sz w:val="22"/>
                <w:szCs w:val="22"/>
                <w:lang w:val="es-CO" w:eastAsia="es-CO"/>
              </w:rPr>
            </w:pPr>
          </w:p>
          <w:p w14:paraId="6DBFECF8" w14:textId="296BE543" w:rsidR="00795C6B" w:rsidRPr="00081C2E" w:rsidRDefault="00795C6B" w:rsidP="006B5225">
            <w:pPr>
              <w:ind w:left="494" w:hanging="283"/>
              <w:jc w:val="both"/>
              <w:rPr>
                <w:rFonts w:ascii="Arial Narrow" w:hAnsi="Arial Narrow" w:cs="Arial"/>
                <w:sz w:val="22"/>
                <w:szCs w:val="22"/>
                <w:lang w:val="es-CO" w:eastAsia="es-CO"/>
              </w:rPr>
            </w:pPr>
            <w:r w:rsidRPr="00081C2E">
              <w:rPr>
                <w:rFonts w:ascii="Arial Narrow" w:hAnsi="Arial Narrow" w:cs="Arial"/>
                <w:sz w:val="22"/>
                <w:szCs w:val="22"/>
                <w:lang w:val="es-CO" w:eastAsia="es-CO"/>
              </w:rPr>
              <w:t>3.3. Disposiciones deroga</w:t>
            </w:r>
            <w:r w:rsidR="006B5225" w:rsidRPr="00081C2E">
              <w:rPr>
                <w:rFonts w:ascii="Arial Narrow" w:hAnsi="Arial Narrow" w:cs="Arial"/>
                <w:sz w:val="22"/>
                <w:szCs w:val="22"/>
                <w:lang w:val="es-CO" w:eastAsia="es-CO"/>
              </w:rPr>
              <w:t>da</w:t>
            </w:r>
            <w:r w:rsidRPr="00081C2E">
              <w:rPr>
                <w:rFonts w:ascii="Arial Narrow" w:hAnsi="Arial Narrow" w:cs="Arial"/>
                <w:sz w:val="22"/>
                <w:szCs w:val="22"/>
                <w:lang w:val="es-CO" w:eastAsia="es-CO"/>
              </w:rPr>
              <w:t>s, subrogadas, modificadas, adicionadas</w:t>
            </w:r>
            <w:r w:rsidR="00D05B67" w:rsidRPr="00081C2E">
              <w:rPr>
                <w:rFonts w:ascii="Arial Narrow" w:hAnsi="Arial Narrow" w:cs="Arial"/>
                <w:sz w:val="22"/>
                <w:szCs w:val="22"/>
                <w:lang w:val="es-CO" w:eastAsia="es-CO"/>
              </w:rPr>
              <w:t xml:space="preserve"> o sustituidas </w:t>
            </w:r>
          </w:p>
          <w:p w14:paraId="2D1E9A32" w14:textId="0A0E39AC" w:rsidR="00236FF0" w:rsidRPr="00081C2E" w:rsidRDefault="00236FF0" w:rsidP="006B5225">
            <w:pPr>
              <w:ind w:left="494" w:hanging="283"/>
              <w:jc w:val="both"/>
              <w:rPr>
                <w:rFonts w:ascii="Arial Narrow" w:hAnsi="Arial Narrow" w:cs="Arial"/>
                <w:sz w:val="22"/>
                <w:szCs w:val="22"/>
                <w:lang w:val="es-CO" w:eastAsia="es-CO"/>
              </w:rPr>
            </w:pPr>
          </w:p>
          <w:p w14:paraId="5EC7363A" w14:textId="1DA895D2" w:rsidR="00236FF0" w:rsidRPr="00081C2E" w:rsidRDefault="002D738A" w:rsidP="00BD29E8">
            <w:pPr>
              <w:jc w:val="both"/>
              <w:rPr>
                <w:rFonts w:ascii="Arial Narrow" w:hAnsi="Arial Narrow" w:cs="Arial"/>
                <w:sz w:val="22"/>
                <w:szCs w:val="22"/>
              </w:rPr>
            </w:pPr>
            <w:r w:rsidRPr="00081C2E">
              <w:rPr>
                <w:rFonts w:ascii="Arial Narrow" w:hAnsi="Arial Narrow" w:cs="Arial"/>
                <w:sz w:val="22"/>
                <w:szCs w:val="22"/>
              </w:rPr>
              <w:t>Tabla A.2.3 del literal A.2 del anexo de la Resolución 290 de 2010</w:t>
            </w:r>
          </w:p>
          <w:p w14:paraId="6DBFECF9" w14:textId="77777777" w:rsidR="00D05B67" w:rsidRPr="00081C2E" w:rsidRDefault="00D05B67" w:rsidP="006B5225">
            <w:pPr>
              <w:ind w:left="494" w:hanging="283"/>
              <w:jc w:val="both"/>
              <w:rPr>
                <w:rFonts w:ascii="Arial Narrow" w:hAnsi="Arial Narrow" w:cs="Arial"/>
                <w:sz w:val="22"/>
                <w:szCs w:val="22"/>
                <w:lang w:val="es-CO" w:eastAsia="es-CO"/>
              </w:rPr>
            </w:pPr>
          </w:p>
          <w:p w14:paraId="6DBFECFA" w14:textId="51FA4308" w:rsidR="00D05B67" w:rsidRPr="00081C2E" w:rsidRDefault="00D05B67" w:rsidP="006B5225">
            <w:pPr>
              <w:ind w:left="494" w:hanging="283"/>
              <w:jc w:val="both"/>
              <w:rPr>
                <w:rFonts w:ascii="Arial Narrow" w:hAnsi="Arial Narrow" w:cs="Arial"/>
                <w:sz w:val="22"/>
                <w:szCs w:val="22"/>
                <w:lang w:val="es-CO" w:eastAsia="es-CO"/>
              </w:rPr>
            </w:pPr>
            <w:r w:rsidRPr="00081C2E">
              <w:rPr>
                <w:rFonts w:ascii="Arial Narrow" w:hAnsi="Arial Narrow" w:cs="Arial"/>
                <w:sz w:val="22"/>
                <w:szCs w:val="22"/>
                <w:lang w:val="es-CO" w:eastAsia="es-CO"/>
              </w:rPr>
              <w:t xml:space="preserve">3.4 Revisión y análisis de la jurisprudencia que tenga impacto o sea relevante para la expedición del proyecto normativo </w:t>
            </w:r>
          </w:p>
          <w:p w14:paraId="5521AA17" w14:textId="07870A9A" w:rsidR="00236FF0" w:rsidRPr="00081C2E" w:rsidRDefault="00236FF0" w:rsidP="006B5225">
            <w:pPr>
              <w:ind w:left="494" w:hanging="283"/>
              <w:jc w:val="both"/>
              <w:rPr>
                <w:rFonts w:ascii="Arial Narrow" w:hAnsi="Arial Narrow" w:cs="Arial"/>
                <w:sz w:val="22"/>
                <w:szCs w:val="22"/>
                <w:lang w:val="es-CO" w:eastAsia="es-CO"/>
              </w:rPr>
            </w:pPr>
          </w:p>
          <w:p w14:paraId="62AE6C0B" w14:textId="1B739F25" w:rsidR="00236FF0" w:rsidRPr="00081C2E" w:rsidRDefault="00236FF0" w:rsidP="00BD29E8">
            <w:pPr>
              <w:jc w:val="both"/>
              <w:rPr>
                <w:rFonts w:ascii="Arial Narrow" w:hAnsi="Arial Narrow" w:cs="Arial"/>
                <w:sz w:val="22"/>
                <w:szCs w:val="22"/>
              </w:rPr>
            </w:pPr>
            <w:r w:rsidRPr="00081C2E">
              <w:rPr>
                <w:rFonts w:ascii="Arial Narrow" w:hAnsi="Arial Narrow" w:cs="Arial"/>
                <w:sz w:val="22"/>
                <w:szCs w:val="22"/>
              </w:rPr>
              <w:t>No aplica</w:t>
            </w:r>
          </w:p>
          <w:p w14:paraId="6DBFECFB" w14:textId="77777777" w:rsidR="00D05B67" w:rsidRPr="00081C2E" w:rsidRDefault="00D05B67" w:rsidP="006B5225">
            <w:pPr>
              <w:ind w:left="494" w:hanging="283"/>
              <w:jc w:val="both"/>
              <w:rPr>
                <w:rFonts w:ascii="Arial Narrow" w:hAnsi="Arial Narrow" w:cs="Arial"/>
                <w:sz w:val="22"/>
                <w:szCs w:val="22"/>
                <w:lang w:val="es-CO" w:eastAsia="es-CO"/>
              </w:rPr>
            </w:pPr>
          </w:p>
          <w:p w14:paraId="6DBFECFC" w14:textId="7A336B98" w:rsidR="00D05B67" w:rsidRPr="00081C2E" w:rsidRDefault="00D05B67" w:rsidP="006B5225">
            <w:pPr>
              <w:ind w:left="494" w:hanging="283"/>
              <w:jc w:val="both"/>
              <w:rPr>
                <w:rFonts w:ascii="Arial Narrow" w:hAnsi="Arial Narrow" w:cs="Arial"/>
                <w:sz w:val="22"/>
                <w:szCs w:val="22"/>
                <w:lang w:val="es-CO" w:eastAsia="es-CO"/>
              </w:rPr>
            </w:pPr>
            <w:r w:rsidRPr="00081C2E">
              <w:rPr>
                <w:rFonts w:ascii="Arial Narrow" w:hAnsi="Arial Narrow" w:cs="Arial"/>
                <w:sz w:val="22"/>
                <w:szCs w:val="22"/>
                <w:lang w:val="es-CO" w:eastAsia="es-CO"/>
              </w:rPr>
              <w:t xml:space="preserve">3.5 Circunstancias jurídicas adicionales </w:t>
            </w:r>
          </w:p>
          <w:p w14:paraId="21B391E5" w14:textId="00F0B26C" w:rsidR="00236FF0" w:rsidRPr="00081C2E" w:rsidRDefault="00236FF0" w:rsidP="006B5225">
            <w:pPr>
              <w:ind w:left="494" w:hanging="283"/>
              <w:jc w:val="both"/>
              <w:rPr>
                <w:rFonts w:ascii="Arial Narrow" w:hAnsi="Arial Narrow" w:cs="Arial"/>
                <w:sz w:val="22"/>
                <w:szCs w:val="22"/>
                <w:lang w:val="es-CO" w:eastAsia="es-CO"/>
              </w:rPr>
            </w:pPr>
          </w:p>
          <w:p w14:paraId="2CF97D80" w14:textId="4261C7CA" w:rsidR="00236FF0" w:rsidRPr="00081C2E" w:rsidRDefault="00236FF0" w:rsidP="00BD29E8">
            <w:pPr>
              <w:jc w:val="both"/>
              <w:rPr>
                <w:rFonts w:ascii="Arial Narrow" w:hAnsi="Arial Narrow" w:cs="Arial"/>
                <w:sz w:val="22"/>
                <w:szCs w:val="22"/>
              </w:rPr>
            </w:pPr>
            <w:r w:rsidRPr="00081C2E">
              <w:rPr>
                <w:rFonts w:ascii="Arial Narrow" w:hAnsi="Arial Narrow" w:cs="Arial"/>
                <w:sz w:val="22"/>
                <w:szCs w:val="22"/>
              </w:rPr>
              <w:t>No aplica</w:t>
            </w:r>
          </w:p>
          <w:p w14:paraId="6DBFECFF" w14:textId="77777777" w:rsidR="00795C6B" w:rsidRPr="00081C2E" w:rsidRDefault="00795C6B" w:rsidP="006B5225">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val="es-CO" w:eastAsia="es-CO"/>
              </w:rPr>
            </w:pPr>
          </w:p>
          <w:p w14:paraId="6DBFED00" w14:textId="77777777" w:rsidR="00795C6B" w:rsidRPr="00081C2E" w:rsidRDefault="00795C6B" w:rsidP="006B5225">
            <w:pPr>
              <w:pBdr>
                <w:top w:val="single" w:sz="4" w:space="1" w:color="auto"/>
                <w:left w:val="single" w:sz="4" w:space="4" w:color="auto"/>
                <w:bottom w:val="single" w:sz="4" w:space="1" w:color="auto"/>
                <w:right w:val="single" w:sz="4" w:space="4" w:color="auto"/>
              </w:pBdr>
              <w:jc w:val="both"/>
              <w:rPr>
                <w:rFonts w:ascii="Arial Narrow" w:hAnsi="Arial Narrow" w:cs="Arial"/>
                <w:sz w:val="22"/>
                <w:szCs w:val="22"/>
                <w:lang w:val="es-CO" w:eastAsia="es-CO"/>
              </w:rPr>
            </w:pPr>
          </w:p>
        </w:tc>
      </w:tr>
      <w:tr w:rsidR="00081C2E" w:rsidRPr="00081C2E" w14:paraId="6DBFED06"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BFED02" w14:textId="77777777" w:rsidR="00843EFF" w:rsidRPr="00081C2E" w:rsidRDefault="00843EFF" w:rsidP="00BD29E8">
            <w:pPr>
              <w:jc w:val="both"/>
              <w:rPr>
                <w:rFonts w:ascii="Arial Narrow" w:hAnsi="Arial Narrow" w:cs="Arial"/>
                <w:b/>
                <w:sz w:val="22"/>
                <w:szCs w:val="22"/>
              </w:rPr>
            </w:pPr>
          </w:p>
          <w:p w14:paraId="6DBFED03" w14:textId="25B34906" w:rsidR="00DF60FD" w:rsidRPr="00081C2E" w:rsidRDefault="00DF60FD" w:rsidP="00BD29E8">
            <w:pPr>
              <w:numPr>
                <w:ilvl w:val="0"/>
                <w:numId w:val="45"/>
              </w:numPr>
              <w:jc w:val="both"/>
              <w:rPr>
                <w:rFonts w:ascii="Arial Narrow" w:hAnsi="Arial Narrow" w:cs="Arial"/>
                <w:b/>
                <w:sz w:val="22"/>
                <w:szCs w:val="22"/>
              </w:rPr>
            </w:pPr>
            <w:r w:rsidRPr="00081C2E">
              <w:rPr>
                <w:rFonts w:ascii="Arial Narrow" w:hAnsi="Arial Narrow" w:cs="Arial"/>
                <w:b/>
                <w:sz w:val="22"/>
                <w:szCs w:val="22"/>
              </w:rPr>
              <w:t>IMPACTO ECONÓMICO</w:t>
            </w:r>
          </w:p>
          <w:p w14:paraId="500BB584" w14:textId="77777777" w:rsidR="00843EFF" w:rsidRPr="00081C2E" w:rsidRDefault="00843EFF" w:rsidP="006B5225">
            <w:pPr>
              <w:jc w:val="both"/>
              <w:rPr>
                <w:rFonts w:ascii="Arial Narrow" w:hAnsi="Arial Narrow" w:cs="Arial"/>
                <w:sz w:val="22"/>
                <w:szCs w:val="22"/>
                <w:lang w:val="es-CO"/>
              </w:rPr>
            </w:pPr>
          </w:p>
          <w:p w14:paraId="64C272A1" w14:textId="431E5CA5" w:rsidR="004C213A" w:rsidRPr="00081C2E" w:rsidRDefault="000D3AC8" w:rsidP="006B5225">
            <w:pPr>
              <w:jc w:val="both"/>
              <w:rPr>
                <w:rFonts w:ascii="Arial Narrow" w:hAnsi="Arial Narrow" w:cs="Arial"/>
                <w:sz w:val="22"/>
                <w:szCs w:val="22"/>
                <w:lang w:val="es-CO"/>
              </w:rPr>
            </w:pPr>
            <w:r w:rsidRPr="00081C2E">
              <w:rPr>
                <w:rFonts w:ascii="Arial Narrow" w:hAnsi="Arial Narrow" w:cs="Arial"/>
                <w:sz w:val="22"/>
                <w:szCs w:val="22"/>
                <w:lang w:val="es-CO"/>
              </w:rPr>
              <w:t>El efecto estimado como resultado de la modificación propuesta genera una reducción de aproximadamente el 0,27</w:t>
            </w:r>
            <w:r w:rsidR="00081C2E">
              <w:rPr>
                <w:rFonts w:ascii="Arial Narrow" w:hAnsi="Arial Narrow" w:cs="Arial"/>
                <w:sz w:val="22"/>
                <w:szCs w:val="22"/>
                <w:lang w:val="es-CO"/>
              </w:rPr>
              <w:t xml:space="preserve"> </w:t>
            </w:r>
            <w:r w:rsidRPr="00081C2E">
              <w:rPr>
                <w:rFonts w:ascii="Arial Narrow" w:hAnsi="Arial Narrow" w:cs="Arial"/>
                <w:sz w:val="22"/>
                <w:szCs w:val="22"/>
                <w:lang w:val="es-CO"/>
              </w:rPr>
              <w:t>% sobre los ingresos actuales relacionados con contraprestaciones para enlaces punto a punto en el departamento Archipiélago de San Andrés, Providencia y Santa Catalina. En este sentido, el FUTIC pasa de recibir $206.747 millones a recibir $206.188 millones.</w:t>
            </w:r>
          </w:p>
          <w:p w14:paraId="0587D1A5" w14:textId="77777777" w:rsidR="004570CA" w:rsidRPr="00081C2E" w:rsidRDefault="004570CA" w:rsidP="006B5225">
            <w:pPr>
              <w:jc w:val="both"/>
              <w:rPr>
                <w:rFonts w:ascii="Arial Narrow" w:hAnsi="Arial Narrow" w:cs="Arial"/>
                <w:sz w:val="22"/>
                <w:szCs w:val="22"/>
                <w:lang w:val="es-CO"/>
              </w:rPr>
            </w:pPr>
          </w:p>
          <w:p w14:paraId="70722213" w14:textId="3D856FCA" w:rsidR="004570CA" w:rsidRPr="00081C2E" w:rsidRDefault="004570CA" w:rsidP="006B5225">
            <w:pPr>
              <w:jc w:val="both"/>
              <w:rPr>
                <w:rFonts w:ascii="Arial Narrow" w:hAnsi="Arial Narrow" w:cs="Arial"/>
                <w:sz w:val="22"/>
                <w:szCs w:val="22"/>
                <w:lang w:val="es-CO"/>
              </w:rPr>
            </w:pPr>
            <w:r w:rsidRPr="00081C2E">
              <w:rPr>
                <w:rFonts w:ascii="Arial Narrow" w:hAnsi="Arial Narrow" w:cs="Arial"/>
                <w:sz w:val="22"/>
                <w:szCs w:val="22"/>
                <w:lang w:val="es-CO"/>
              </w:rPr>
              <w:t>En cuanto a los ingresos totales del FUTIC, la modificación genera que se pase de $1.330.048 millones a $1.329.488, una reducción en cerca de 0,04</w:t>
            </w:r>
            <w:r w:rsidR="00081C2E">
              <w:rPr>
                <w:rFonts w:ascii="Arial Narrow" w:hAnsi="Arial Narrow" w:cs="Arial"/>
                <w:sz w:val="22"/>
                <w:szCs w:val="22"/>
                <w:lang w:val="es-CO"/>
              </w:rPr>
              <w:t xml:space="preserve"> </w:t>
            </w:r>
            <w:r w:rsidRPr="00081C2E">
              <w:rPr>
                <w:rFonts w:ascii="Arial Narrow" w:hAnsi="Arial Narrow" w:cs="Arial"/>
                <w:sz w:val="22"/>
                <w:szCs w:val="22"/>
                <w:lang w:val="es-CO"/>
              </w:rPr>
              <w:t>%.</w:t>
            </w:r>
          </w:p>
          <w:p w14:paraId="32A400B3" w14:textId="77777777" w:rsidR="004C213A" w:rsidRPr="00081C2E" w:rsidRDefault="004C213A" w:rsidP="006B5225">
            <w:pPr>
              <w:jc w:val="both"/>
              <w:rPr>
                <w:rFonts w:ascii="Arial Narrow" w:hAnsi="Arial Narrow" w:cs="Arial"/>
                <w:sz w:val="22"/>
                <w:szCs w:val="22"/>
                <w:lang w:val="es-CO"/>
              </w:rPr>
            </w:pPr>
          </w:p>
          <w:p w14:paraId="6DBFED05" w14:textId="2DAEB0C6" w:rsidR="00236FF0" w:rsidRPr="00081C2E" w:rsidRDefault="00236FF0" w:rsidP="00BD29E8">
            <w:pPr>
              <w:jc w:val="both"/>
              <w:rPr>
                <w:rFonts w:ascii="Arial Narrow" w:hAnsi="Arial Narrow" w:cs="Arial"/>
                <w:sz w:val="22"/>
                <w:szCs w:val="22"/>
                <w:lang w:val="es-CO"/>
              </w:rPr>
            </w:pPr>
          </w:p>
        </w:tc>
      </w:tr>
      <w:tr w:rsidR="00081C2E" w:rsidRPr="00081C2E" w14:paraId="6DBFED0C"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BFED07" w14:textId="77777777" w:rsidR="00843EFF" w:rsidRPr="00081C2E" w:rsidRDefault="00843EFF" w:rsidP="00BD29E8">
            <w:pPr>
              <w:jc w:val="both"/>
              <w:rPr>
                <w:rFonts w:ascii="Arial Narrow" w:hAnsi="Arial Narrow" w:cs="Arial"/>
                <w:sz w:val="22"/>
                <w:szCs w:val="22"/>
              </w:rPr>
            </w:pPr>
          </w:p>
          <w:p w14:paraId="09F4683C" w14:textId="6A4B4A5F" w:rsidR="00696582" w:rsidRDefault="00795C6B" w:rsidP="00081C2E">
            <w:pPr>
              <w:numPr>
                <w:ilvl w:val="0"/>
                <w:numId w:val="45"/>
              </w:numPr>
              <w:jc w:val="both"/>
              <w:rPr>
                <w:rFonts w:ascii="Arial Narrow" w:hAnsi="Arial Narrow" w:cs="Arial"/>
                <w:sz w:val="22"/>
                <w:szCs w:val="22"/>
              </w:rPr>
            </w:pPr>
            <w:r w:rsidRPr="00081C2E">
              <w:rPr>
                <w:rFonts w:ascii="Arial Narrow" w:hAnsi="Arial Narrow" w:cs="Arial"/>
                <w:b/>
                <w:sz w:val="22"/>
                <w:szCs w:val="22"/>
              </w:rPr>
              <w:t xml:space="preserve">VIABILIDAD O </w:t>
            </w:r>
            <w:r w:rsidR="00DF60FD" w:rsidRPr="00081C2E">
              <w:rPr>
                <w:rFonts w:ascii="Arial Narrow" w:hAnsi="Arial Narrow" w:cs="Arial"/>
                <w:b/>
                <w:sz w:val="22"/>
                <w:szCs w:val="22"/>
              </w:rPr>
              <w:t>DISPONIBILIDAD PRESUPUESTAL</w:t>
            </w:r>
            <w:r w:rsidR="00DF60FD" w:rsidRPr="00081C2E">
              <w:rPr>
                <w:rFonts w:ascii="Arial Narrow" w:hAnsi="Arial Narrow" w:cs="Arial"/>
                <w:sz w:val="22"/>
                <w:szCs w:val="22"/>
              </w:rPr>
              <w:t xml:space="preserve"> </w:t>
            </w:r>
          </w:p>
          <w:p w14:paraId="6DBFED0B" w14:textId="70EFE086" w:rsidR="00081C2E" w:rsidRPr="00081C2E" w:rsidRDefault="00081C2E">
            <w:pPr>
              <w:jc w:val="both"/>
              <w:rPr>
                <w:rFonts w:ascii="Arial Narrow" w:hAnsi="Arial Narrow" w:cs="Arial"/>
                <w:sz w:val="22"/>
                <w:szCs w:val="22"/>
              </w:rPr>
            </w:pPr>
            <w:r>
              <w:rPr>
                <w:rFonts w:ascii="Arial Narrow" w:hAnsi="Arial Narrow" w:cs="Arial"/>
                <w:sz w:val="22"/>
                <w:szCs w:val="22"/>
              </w:rPr>
              <w:t>El proyecto no genera erogación</w:t>
            </w:r>
          </w:p>
        </w:tc>
      </w:tr>
      <w:tr w:rsidR="00081C2E" w:rsidRPr="00081C2E" w14:paraId="6DBFED11"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7CC5DCC6" w14:textId="3F246A9E" w:rsidR="00F71410" w:rsidRPr="00081C2E" w:rsidRDefault="00DF60FD" w:rsidP="003F375C">
            <w:pPr>
              <w:numPr>
                <w:ilvl w:val="0"/>
                <w:numId w:val="45"/>
              </w:numPr>
              <w:jc w:val="both"/>
              <w:rPr>
                <w:rFonts w:ascii="Arial Narrow" w:hAnsi="Arial Narrow" w:cs="Arial"/>
                <w:b/>
                <w:sz w:val="22"/>
                <w:szCs w:val="22"/>
              </w:rPr>
            </w:pPr>
            <w:r w:rsidRPr="00081C2E">
              <w:rPr>
                <w:rFonts w:ascii="Arial Narrow" w:hAnsi="Arial Narrow" w:cs="Arial"/>
                <w:b/>
                <w:sz w:val="22"/>
                <w:szCs w:val="22"/>
              </w:rPr>
              <w:lastRenderedPageBreak/>
              <w:t xml:space="preserve"> IMPACTO MEDIOAMBIENTAL O SOBRE EL PATRIMONIO CULTURAL DE LA NACIÓN </w:t>
            </w:r>
          </w:p>
          <w:p w14:paraId="6DBFED0E" w14:textId="0040E76E" w:rsidR="00D05B67" w:rsidRPr="00081C2E" w:rsidRDefault="002D738A" w:rsidP="00F71410">
            <w:pPr>
              <w:rPr>
                <w:rFonts w:ascii="Arial Narrow" w:hAnsi="Arial Narrow" w:cs="Arial"/>
                <w:sz w:val="22"/>
                <w:szCs w:val="22"/>
              </w:rPr>
            </w:pPr>
            <w:r w:rsidRPr="00081C2E">
              <w:rPr>
                <w:rFonts w:ascii="Arial Narrow" w:hAnsi="Arial Narrow" w:cs="Arial"/>
                <w:sz w:val="22"/>
                <w:szCs w:val="22"/>
              </w:rPr>
              <w:t>N/A</w:t>
            </w:r>
          </w:p>
          <w:p w14:paraId="6DBFED0F" w14:textId="77777777" w:rsidR="00D05B67" w:rsidRPr="00081C2E" w:rsidRDefault="00D05B67" w:rsidP="00FA4A9E">
            <w:pPr>
              <w:jc w:val="both"/>
              <w:rPr>
                <w:rFonts w:ascii="Arial Narrow" w:hAnsi="Arial Narrow" w:cs="Arial"/>
                <w:b/>
                <w:sz w:val="22"/>
                <w:szCs w:val="22"/>
              </w:rPr>
            </w:pPr>
          </w:p>
          <w:p w14:paraId="6DBFED10" w14:textId="77777777" w:rsidR="00696582" w:rsidRPr="00081C2E" w:rsidRDefault="00696582" w:rsidP="00FA4A9E">
            <w:pPr>
              <w:jc w:val="both"/>
              <w:rPr>
                <w:rFonts w:ascii="Arial Narrow" w:hAnsi="Arial Narrow" w:cs="Arial"/>
                <w:b/>
                <w:sz w:val="22"/>
                <w:szCs w:val="22"/>
              </w:rPr>
            </w:pPr>
          </w:p>
        </w:tc>
      </w:tr>
      <w:tr w:rsidR="00081C2E" w:rsidRPr="00081C2E" w14:paraId="6DBFED13"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6DBFED12" w14:textId="77777777" w:rsidR="00D05B67" w:rsidRPr="00081C2E" w:rsidRDefault="00D05B67" w:rsidP="00696582">
            <w:pPr>
              <w:numPr>
                <w:ilvl w:val="0"/>
                <w:numId w:val="45"/>
              </w:numPr>
              <w:jc w:val="both"/>
              <w:rPr>
                <w:rFonts w:ascii="Arial Narrow" w:hAnsi="Arial Narrow" w:cs="Arial"/>
                <w:sz w:val="22"/>
                <w:szCs w:val="22"/>
              </w:rPr>
            </w:pPr>
            <w:r w:rsidRPr="00081C2E">
              <w:rPr>
                <w:rFonts w:ascii="Arial Narrow" w:hAnsi="Arial Narrow" w:cs="Arial"/>
                <w:b/>
                <w:sz w:val="22"/>
                <w:szCs w:val="22"/>
              </w:rPr>
              <w:t>ESTUDIOS TÉCNICOS QUE SUSTENTEN EL PROYECTO NORMATIVO</w:t>
            </w:r>
            <w:r w:rsidRPr="00081C2E">
              <w:rPr>
                <w:rFonts w:ascii="Arial Narrow" w:hAnsi="Arial Narrow" w:cs="Arial"/>
                <w:sz w:val="22"/>
                <w:szCs w:val="22"/>
              </w:rPr>
              <w:t xml:space="preserve"> (Si cuenta con ellos)</w:t>
            </w:r>
            <w:r w:rsidR="00696582" w:rsidRPr="00081C2E">
              <w:rPr>
                <w:rFonts w:ascii="Arial Narrow" w:hAnsi="Arial Narrow" w:cs="Arial"/>
                <w:sz w:val="22"/>
                <w:szCs w:val="22"/>
              </w:rPr>
              <w:t xml:space="preserve"> </w:t>
            </w:r>
          </w:p>
        </w:tc>
      </w:tr>
      <w:tr w:rsidR="00081C2E" w:rsidRPr="00081C2E" w14:paraId="6DBFED15"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DBFED14" w14:textId="6440646E" w:rsidR="00843EFF" w:rsidRPr="00F96790" w:rsidRDefault="002D738A" w:rsidP="00BD29E8">
            <w:pPr>
              <w:jc w:val="both"/>
              <w:rPr>
                <w:rFonts w:ascii="Arial Narrow" w:hAnsi="Arial Narrow" w:cs="Arial"/>
                <w:bCs/>
                <w:sz w:val="22"/>
                <w:szCs w:val="22"/>
              </w:rPr>
            </w:pPr>
            <w:r w:rsidRPr="00375320">
              <w:rPr>
                <w:rFonts w:ascii="Arial Narrow" w:hAnsi="Arial Narrow" w:cs="Arial"/>
                <w:bCs/>
                <w:sz w:val="22"/>
                <w:szCs w:val="22"/>
              </w:rPr>
              <w:t>DOCUMENTO ANE</w:t>
            </w:r>
            <w:r w:rsidR="00F96790" w:rsidRPr="00F96790">
              <w:rPr>
                <w:rFonts w:ascii="Arial Narrow" w:hAnsi="Arial Narrow" w:cs="Arial"/>
                <w:bCs/>
                <w:sz w:val="22"/>
                <w:szCs w:val="22"/>
              </w:rPr>
              <w:t xml:space="preserve">: </w:t>
            </w:r>
            <w:r w:rsidR="00F96790">
              <w:rPr>
                <w:rFonts w:ascii="Arial Narrow" w:hAnsi="Arial Narrow" w:cs="Arial"/>
                <w:bCs/>
                <w:sz w:val="22"/>
                <w:szCs w:val="22"/>
              </w:rPr>
              <w:t>“</w:t>
            </w:r>
            <w:r w:rsidR="00F96790" w:rsidRPr="00375320">
              <w:rPr>
                <w:rFonts w:ascii="Arial Narrow" w:hAnsi="Arial Narrow" w:cs="Arial"/>
                <w:bCs/>
                <w:i/>
                <w:sz w:val="22"/>
                <w:szCs w:val="22"/>
              </w:rPr>
              <w:t>Propuesta de modificación de los parámetros de valoración por el derecho al uso del espectro para enlaces punto a punto para el departamento del Archipiélago de San Andrés, Providencia y Santa Catalina”</w:t>
            </w:r>
          </w:p>
        </w:tc>
      </w:tr>
      <w:tr w:rsidR="00081C2E" w:rsidRPr="00081C2E" w14:paraId="6DBFED17"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DBFED16" w14:textId="77777777" w:rsidR="00DF60FD" w:rsidRPr="00081C2E" w:rsidRDefault="00DF60FD" w:rsidP="00F55DC4">
            <w:pPr>
              <w:jc w:val="both"/>
              <w:rPr>
                <w:rFonts w:ascii="Arial Narrow" w:hAnsi="Arial Narrow" w:cs="Arial"/>
                <w:sz w:val="22"/>
                <w:szCs w:val="22"/>
              </w:rPr>
            </w:pPr>
          </w:p>
        </w:tc>
      </w:tr>
      <w:tr w:rsidR="00081C2E" w:rsidRPr="00081C2E" w14:paraId="6DBFED21"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6DBFED20" w14:textId="77777777" w:rsidR="00F55DC4" w:rsidRPr="00081C2E" w:rsidRDefault="00DF60FD" w:rsidP="00696582">
            <w:pPr>
              <w:jc w:val="center"/>
              <w:rPr>
                <w:rFonts w:ascii="Arial Narrow" w:hAnsi="Arial Narrow" w:cs="Arial"/>
                <w:sz w:val="22"/>
                <w:szCs w:val="22"/>
              </w:rPr>
            </w:pPr>
            <w:r w:rsidRPr="00081C2E">
              <w:rPr>
                <w:rFonts w:ascii="Arial Narrow" w:hAnsi="Arial Narrow" w:cs="Arial"/>
                <w:b/>
                <w:sz w:val="22"/>
                <w:szCs w:val="22"/>
              </w:rPr>
              <w:t>ANEXOS</w:t>
            </w:r>
            <w:r w:rsidR="00D05B67" w:rsidRPr="00081C2E">
              <w:rPr>
                <w:rFonts w:ascii="Arial Narrow" w:hAnsi="Arial Narrow" w:cs="Arial"/>
                <w:b/>
                <w:sz w:val="22"/>
                <w:szCs w:val="22"/>
              </w:rPr>
              <w:t>:</w:t>
            </w:r>
            <w:r w:rsidR="00696582" w:rsidRPr="00081C2E">
              <w:rPr>
                <w:rFonts w:ascii="Arial Narrow" w:hAnsi="Arial Narrow" w:cs="Arial"/>
                <w:sz w:val="22"/>
                <w:szCs w:val="22"/>
              </w:rPr>
              <w:t xml:space="preserve"> </w:t>
            </w:r>
          </w:p>
        </w:tc>
      </w:tr>
      <w:tr w:rsidR="00081C2E" w:rsidRPr="00081C2E" w14:paraId="6DBFED2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23" w14:textId="714F2309" w:rsidR="00D05B67" w:rsidRPr="00081C2E" w:rsidRDefault="00D05B67">
            <w:pPr>
              <w:jc w:val="both"/>
              <w:rPr>
                <w:rFonts w:ascii="Arial Narrow" w:hAnsi="Arial Narrow" w:cs="Arial"/>
                <w:i/>
                <w:sz w:val="22"/>
                <w:szCs w:val="22"/>
              </w:rPr>
            </w:pPr>
            <w:r w:rsidRPr="00081C2E">
              <w:rPr>
                <w:rFonts w:ascii="Arial Narrow" w:hAnsi="Arial Narrow" w:cs="Arial"/>
                <w:sz w:val="22"/>
                <w:szCs w:val="22"/>
              </w:rPr>
              <w:t xml:space="preserve">Certificación de cumplimiento de requisitos de consulta, publicidad y de incorporación en la agenda regulatoria </w:t>
            </w:r>
          </w:p>
        </w:tc>
        <w:tc>
          <w:tcPr>
            <w:tcW w:w="3119" w:type="dxa"/>
            <w:tcBorders>
              <w:top w:val="single" w:sz="4" w:space="0" w:color="auto"/>
              <w:left w:val="single" w:sz="4" w:space="0" w:color="auto"/>
              <w:bottom w:val="single" w:sz="4" w:space="0" w:color="auto"/>
            </w:tcBorders>
            <w:shd w:val="clear" w:color="auto" w:fill="FFFFFF"/>
            <w:vAlign w:val="center"/>
          </w:tcPr>
          <w:p w14:paraId="6DBFED24" w14:textId="03FFF2CE" w:rsidR="00D05B67" w:rsidRPr="00081C2E" w:rsidRDefault="00BA5765" w:rsidP="00D05B67">
            <w:pPr>
              <w:jc w:val="both"/>
              <w:rPr>
                <w:rFonts w:ascii="Arial Narrow" w:hAnsi="Arial Narrow" w:cs="Arial"/>
                <w:i/>
                <w:sz w:val="22"/>
                <w:szCs w:val="22"/>
              </w:rPr>
            </w:pPr>
            <w:r>
              <w:rPr>
                <w:rFonts w:ascii="Arial Narrow" w:hAnsi="Arial Narrow" w:cs="Arial"/>
                <w:i/>
                <w:sz w:val="22"/>
                <w:szCs w:val="22"/>
              </w:rPr>
              <w:t>X</w:t>
            </w:r>
          </w:p>
        </w:tc>
      </w:tr>
      <w:tr w:rsidR="00081C2E" w:rsidRPr="00081C2E" w14:paraId="6DBFED29"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27" w14:textId="1868E40C" w:rsidR="00D05B67" w:rsidRPr="00081C2E" w:rsidRDefault="00D05B67">
            <w:pPr>
              <w:jc w:val="both"/>
              <w:rPr>
                <w:rFonts w:ascii="Arial Narrow" w:hAnsi="Arial Narrow" w:cs="Arial"/>
                <w:i/>
                <w:sz w:val="22"/>
                <w:szCs w:val="22"/>
              </w:rPr>
            </w:pPr>
            <w:r w:rsidRPr="00081C2E">
              <w:rPr>
                <w:rFonts w:ascii="Arial Narrow" w:hAnsi="Arial Narrow" w:cs="Arial"/>
                <w:sz w:val="22"/>
                <w:szCs w:val="22"/>
              </w:rPr>
              <w:t>Concepto</w:t>
            </w:r>
            <w:r w:rsidR="005F30C3" w:rsidRPr="00081C2E">
              <w:rPr>
                <w:rFonts w:ascii="Arial Narrow" w:hAnsi="Arial Narrow" w:cs="Arial"/>
                <w:sz w:val="22"/>
                <w:szCs w:val="22"/>
              </w:rPr>
              <w:t>(s)</w:t>
            </w:r>
            <w:r w:rsidRPr="00081C2E">
              <w:rPr>
                <w:rFonts w:ascii="Arial Narrow" w:hAnsi="Arial Narrow" w:cs="Arial"/>
                <w:sz w:val="22"/>
                <w:szCs w:val="22"/>
              </w:rPr>
              <w:t xml:space="preserve"> de Min</w:t>
            </w:r>
            <w:r w:rsidR="005F30C3" w:rsidRPr="00081C2E">
              <w:rPr>
                <w:rFonts w:ascii="Arial Narrow" w:hAnsi="Arial Narrow" w:cs="Arial"/>
                <w:sz w:val="22"/>
                <w:szCs w:val="22"/>
              </w:rPr>
              <w:t>isterio de</w:t>
            </w:r>
            <w:r w:rsidRPr="00081C2E">
              <w:rPr>
                <w:rFonts w:ascii="Arial Narrow" w:hAnsi="Arial Narrow" w:cs="Arial"/>
                <w:sz w:val="22"/>
                <w:szCs w:val="22"/>
              </w:rPr>
              <w:t xml:space="preserve"> Comercio</w:t>
            </w:r>
            <w:r w:rsidR="005F30C3" w:rsidRPr="00081C2E">
              <w:rPr>
                <w:rFonts w:ascii="Arial Narrow" w:hAnsi="Arial Narrow" w:cs="Arial"/>
                <w:sz w:val="22"/>
                <w:szCs w:val="22"/>
              </w:rPr>
              <w:t>, Industria y Turismo</w:t>
            </w:r>
          </w:p>
        </w:tc>
        <w:tc>
          <w:tcPr>
            <w:tcW w:w="3119" w:type="dxa"/>
            <w:tcBorders>
              <w:top w:val="single" w:sz="4" w:space="0" w:color="auto"/>
              <w:left w:val="single" w:sz="4" w:space="0" w:color="auto"/>
              <w:bottom w:val="single" w:sz="4" w:space="0" w:color="auto"/>
            </w:tcBorders>
            <w:shd w:val="clear" w:color="auto" w:fill="FFFFFF"/>
            <w:vAlign w:val="center"/>
          </w:tcPr>
          <w:p w14:paraId="6DBFED28" w14:textId="0947F20C" w:rsidR="00D05B67" w:rsidRPr="00081C2E" w:rsidRDefault="00F71410" w:rsidP="00D05B67">
            <w:pPr>
              <w:jc w:val="both"/>
              <w:rPr>
                <w:rFonts w:ascii="Arial Narrow" w:hAnsi="Arial Narrow" w:cs="Arial"/>
                <w:sz w:val="22"/>
                <w:szCs w:val="22"/>
              </w:rPr>
            </w:pPr>
            <w:r w:rsidRPr="00081C2E">
              <w:rPr>
                <w:rFonts w:ascii="Arial Narrow" w:hAnsi="Arial Narrow" w:cs="Arial"/>
                <w:i/>
                <w:sz w:val="22"/>
                <w:szCs w:val="22"/>
              </w:rPr>
              <w:t>No aplica</w:t>
            </w:r>
          </w:p>
        </w:tc>
      </w:tr>
      <w:tr w:rsidR="00081C2E" w:rsidRPr="00081C2E" w14:paraId="6DBFED2D"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2B" w14:textId="11336972" w:rsidR="005F30C3" w:rsidRPr="00081C2E" w:rsidRDefault="005F30C3">
            <w:pPr>
              <w:jc w:val="both"/>
              <w:rPr>
                <w:rFonts w:ascii="Arial Narrow" w:hAnsi="Arial Narrow" w:cs="Arial"/>
                <w:i/>
                <w:sz w:val="22"/>
                <w:szCs w:val="22"/>
              </w:rPr>
            </w:pPr>
            <w:r w:rsidRPr="00081C2E">
              <w:rPr>
                <w:rFonts w:ascii="Arial Narrow" w:hAnsi="Arial Narrow" w:cs="Arial"/>
                <w:sz w:val="22"/>
                <w:szCs w:val="22"/>
              </w:rPr>
              <w:t xml:space="preserve">Informe de observaciones y respuestas </w:t>
            </w:r>
          </w:p>
        </w:tc>
        <w:tc>
          <w:tcPr>
            <w:tcW w:w="3119" w:type="dxa"/>
            <w:tcBorders>
              <w:top w:val="single" w:sz="4" w:space="0" w:color="auto"/>
              <w:left w:val="single" w:sz="4" w:space="0" w:color="auto"/>
              <w:bottom w:val="single" w:sz="4" w:space="0" w:color="auto"/>
            </w:tcBorders>
            <w:shd w:val="clear" w:color="auto" w:fill="FFFFFF"/>
            <w:vAlign w:val="center"/>
          </w:tcPr>
          <w:p w14:paraId="6DBFED2C" w14:textId="2F5C20F0" w:rsidR="005F30C3" w:rsidRPr="00081C2E" w:rsidRDefault="00BA5765" w:rsidP="00D05B67">
            <w:pPr>
              <w:jc w:val="both"/>
              <w:rPr>
                <w:rFonts w:ascii="Arial Narrow" w:hAnsi="Arial Narrow" w:cs="Arial"/>
                <w:sz w:val="22"/>
                <w:szCs w:val="22"/>
              </w:rPr>
            </w:pPr>
            <w:r>
              <w:rPr>
                <w:rFonts w:ascii="Arial Narrow" w:hAnsi="Arial Narrow" w:cs="Arial"/>
                <w:i/>
                <w:sz w:val="22"/>
                <w:szCs w:val="22"/>
              </w:rPr>
              <w:t>X</w:t>
            </w:r>
          </w:p>
        </w:tc>
      </w:tr>
      <w:tr w:rsidR="00081C2E" w:rsidRPr="00081C2E" w14:paraId="6DBFED31"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2F" w14:textId="4D40B12A" w:rsidR="005F30C3" w:rsidRPr="00081C2E" w:rsidRDefault="005F30C3">
            <w:pPr>
              <w:jc w:val="both"/>
              <w:rPr>
                <w:rFonts w:ascii="Arial Narrow" w:hAnsi="Arial Narrow" w:cs="Arial"/>
                <w:i/>
                <w:sz w:val="22"/>
                <w:szCs w:val="22"/>
              </w:rPr>
            </w:pPr>
            <w:r w:rsidRPr="00081C2E">
              <w:rPr>
                <w:rFonts w:ascii="Arial Narrow" w:hAnsi="Arial Narrow" w:cs="Arial"/>
                <w:sz w:val="22"/>
                <w:szCs w:val="22"/>
              </w:rPr>
              <w:t>Concepto de Abogacía de la Competencia de la Superintendencia de Industria y Comercio</w:t>
            </w:r>
          </w:p>
        </w:tc>
        <w:tc>
          <w:tcPr>
            <w:tcW w:w="3119" w:type="dxa"/>
            <w:tcBorders>
              <w:top w:val="single" w:sz="4" w:space="0" w:color="auto"/>
              <w:left w:val="single" w:sz="4" w:space="0" w:color="auto"/>
              <w:bottom w:val="single" w:sz="4" w:space="0" w:color="auto"/>
            </w:tcBorders>
            <w:shd w:val="clear" w:color="auto" w:fill="FFFFFF"/>
            <w:vAlign w:val="center"/>
          </w:tcPr>
          <w:p w14:paraId="6DBFED30" w14:textId="65FEDA61" w:rsidR="005F30C3" w:rsidRPr="00081C2E" w:rsidRDefault="00F71410" w:rsidP="00D05B67">
            <w:pPr>
              <w:jc w:val="both"/>
              <w:rPr>
                <w:rFonts w:ascii="Arial Narrow" w:hAnsi="Arial Narrow" w:cs="Arial"/>
                <w:sz w:val="22"/>
                <w:szCs w:val="22"/>
              </w:rPr>
            </w:pPr>
            <w:r w:rsidRPr="00081C2E">
              <w:rPr>
                <w:rFonts w:ascii="Arial Narrow" w:hAnsi="Arial Narrow" w:cs="Arial"/>
                <w:i/>
                <w:sz w:val="22"/>
                <w:szCs w:val="22"/>
              </w:rPr>
              <w:t>No aplica</w:t>
            </w:r>
          </w:p>
        </w:tc>
      </w:tr>
      <w:tr w:rsidR="00081C2E" w:rsidRPr="00081C2E" w14:paraId="6DBFED35"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33" w14:textId="41937F69" w:rsidR="005F30C3" w:rsidRPr="00081C2E" w:rsidRDefault="005F30C3">
            <w:pPr>
              <w:jc w:val="both"/>
              <w:rPr>
                <w:rFonts w:ascii="Arial Narrow" w:hAnsi="Arial Narrow" w:cs="Arial"/>
                <w:sz w:val="22"/>
                <w:szCs w:val="22"/>
              </w:rPr>
            </w:pPr>
            <w:r w:rsidRPr="00081C2E">
              <w:rPr>
                <w:rFonts w:ascii="Arial Narrow" w:hAnsi="Arial Narrow" w:cs="Arial"/>
                <w:sz w:val="22"/>
                <w:szCs w:val="22"/>
              </w:rPr>
              <w:t>Concepto de aprobación nuevos trámites del Departamento Administrativo de la Función Pública</w:t>
            </w:r>
          </w:p>
        </w:tc>
        <w:tc>
          <w:tcPr>
            <w:tcW w:w="3119" w:type="dxa"/>
            <w:tcBorders>
              <w:top w:val="single" w:sz="4" w:space="0" w:color="auto"/>
              <w:left w:val="single" w:sz="4" w:space="0" w:color="auto"/>
              <w:bottom w:val="single" w:sz="4" w:space="0" w:color="auto"/>
            </w:tcBorders>
            <w:shd w:val="clear" w:color="auto" w:fill="FFFFFF"/>
            <w:vAlign w:val="center"/>
          </w:tcPr>
          <w:p w14:paraId="6DBFED34" w14:textId="0CEA96AD" w:rsidR="005F30C3" w:rsidRPr="00081C2E" w:rsidRDefault="00F71410" w:rsidP="00D05B67">
            <w:pPr>
              <w:jc w:val="both"/>
              <w:rPr>
                <w:rFonts w:ascii="Arial Narrow" w:hAnsi="Arial Narrow" w:cs="Arial"/>
                <w:sz w:val="22"/>
                <w:szCs w:val="22"/>
              </w:rPr>
            </w:pPr>
            <w:r w:rsidRPr="00081C2E">
              <w:rPr>
                <w:rFonts w:ascii="Arial Narrow" w:hAnsi="Arial Narrow" w:cs="Arial"/>
                <w:i/>
                <w:sz w:val="22"/>
                <w:szCs w:val="22"/>
              </w:rPr>
              <w:t>No aplica</w:t>
            </w:r>
          </w:p>
        </w:tc>
      </w:tr>
      <w:tr w:rsidR="00081C2E" w:rsidRPr="00081C2E" w14:paraId="6DBFED39"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DBFED37" w14:textId="6F118984" w:rsidR="005F30C3" w:rsidRPr="00081C2E" w:rsidRDefault="005F30C3">
            <w:pPr>
              <w:jc w:val="both"/>
              <w:rPr>
                <w:rFonts w:ascii="Arial Narrow" w:hAnsi="Arial Narrow" w:cs="Arial"/>
                <w:sz w:val="22"/>
                <w:szCs w:val="22"/>
              </w:rPr>
            </w:pPr>
            <w:r w:rsidRPr="00081C2E">
              <w:rPr>
                <w:rFonts w:ascii="Arial Narrow" w:hAnsi="Arial Narrow" w:cs="Arial"/>
                <w:sz w:val="22"/>
                <w:szCs w:val="22"/>
              </w:rPr>
              <w:t>Otro</w:t>
            </w:r>
          </w:p>
        </w:tc>
        <w:tc>
          <w:tcPr>
            <w:tcW w:w="3119" w:type="dxa"/>
            <w:tcBorders>
              <w:top w:val="single" w:sz="4" w:space="0" w:color="auto"/>
              <w:left w:val="single" w:sz="4" w:space="0" w:color="auto"/>
              <w:bottom w:val="single" w:sz="4" w:space="0" w:color="auto"/>
            </w:tcBorders>
            <w:shd w:val="clear" w:color="auto" w:fill="FFFFFF"/>
            <w:vAlign w:val="center"/>
          </w:tcPr>
          <w:p w14:paraId="6DBFED38" w14:textId="39838E2E" w:rsidR="005F30C3" w:rsidRPr="00081C2E" w:rsidRDefault="00F71410" w:rsidP="00D05B67">
            <w:pPr>
              <w:jc w:val="both"/>
              <w:rPr>
                <w:rFonts w:ascii="Arial Narrow" w:hAnsi="Arial Narrow" w:cs="Arial"/>
                <w:sz w:val="22"/>
                <w:szCs w:val="22"/>
              </w:rPr>
            </w:pPr>
            <w:r w:rsidRPr="00081C2E">
              <w:rPr>
                <w:rFonts w:ascii="Arial Narrow" w:hAnsi="Arial Narrow" w:cs="Arial"/>
                <w:i/>
                <w:sz w:val="22"/>
                <w:szCs w:val="22"/>
              </w:rPr>
              <w:t>No aplica</w:t>
            </w:r>
          </w:p>
        </w:tc>
      </w:tr>
    </w:tbl>
    <w:p w14:paraId="6DBFED3A" w14:textId="77777777" w:rsidR="00301DC2" w:rsidRPr="00081C2E" w:rsidRDefault="00301DC2" w:rsidP="00587695">
      <w:pPr>
        <w:ind w:right="-377"/>
        <w:jc w:val="both"/>
        <w:rPr>
          <w:rFonts w:ascii="Arial Narrow" w:hAnsi="Arial Narrow" w:cs="Arial"/>
          <w:sz w:val="22"/>
          <w:szCs w:val="22"/>
        </w:rPr>
      </w:pPr>
    </w:p>
    <w:p w14:paraId="6DBFED3B" w14:textId="77777777" w:rsidR="00B66D03" w:rsidRPr="00081C2E" w:rsidRDefault="000B30A6" w:rsidP="00696582">
      <w:pPr>
        <w:ind w:left="-1276" w:right="-377" w:firstLine="283"/>
        <w:jc w:val="both"/>
        <w:rPr>
          <w:rFonts w:ascii="Arial Narrow" w:hAnsi="Arial Narrow" w:cs="Arial"/>
          <w:b/>
          <w:sz w:val="22"/>
          <w:szCs w:val="22"/>
        </w:rPr>
      </w:pPr>
      <w:r w:rsidRPr="00081C2E">
        <w:rPr>
          <w:rFonts w:ascii="Arial Narrow" w:hAnsi="Arial Narrow" w:cs="Arial"/>
          <w:b/>
          <w:sz w:val="22"/>
          <w:szCs w:val="22"/>
        </w:rPr>
        <w:t>Aprobó</w:t>
      </w:r>
      <w:r w:rsidR="00CB4D37" w:rsidRPr="00081C2E">
        <w:rPr>
          <w:rFonts w:ascii="Arial Narrow" w:hAnsi="Arial Narrow" w:cs="Arial"/>
          <w:b/>
          <w:sz w:val="22"/>
          <w:szCs w:val="22"/>
        </w:rPr>
        <w:t>:</w:t>
      </w:r>
    </w:p>
    <w:p w14:paraId="6DBFED3F" w14:textId="77777777" w:rsidR="00F16839" w:rsidRPr="00081C2E" w:rsidRDefault="00F16839" w:rsidP="0075705D">
      <w:pPr>
        <w:ind w:right="-377"/>
        <w:jc w:val="both"/>
        <w:rPr>
          <w:rFonts w:ascii="Arial Narrow" w:hAnsi="Arial Narrow" w:cs="Arial"/>
          <w:sz w:val="22"/>
          <w:szCs w:val="22"/>
        </w:rPr>
      </w:pPr>
    </w:p>
    <w:p w14:paraId="3772B127" w14:textId="77777777" w:rsidR="00D040A4" w:rsidRPr="00081C2E" w:rsidRDefault="00D040A4" w:rsidP="00696582">
      <w:pPr>
        <w:pStyle w:val="Listavistosa-nfasis11"/>
        <w:rPr>
          <w:rFonts w:ascii="Arial Narrow" w:hAnsi="Arial Narrow" w:cs="Arial"/>
          <w:b/>
        </w:rPr>
      </w:pPr>
    </w:p>
    <w:p w14:paraId="63942E4F" w14:textId="533A8BA8" w:rsidR="00464127" w:rsidRDefault="00081C2E" w:rsidP="008C548E">
      <w:pPr>
        <w:pStyle w:val="Listavistosa-nfasis11"/>
        <w:ind w:left="-993"/>
        <w:rPr>
          <w:rFonts w:ascii="Arial Narrow" w:hAnsi="Arial Narrow" w:cs="Arial"/>
          <w:b/>
        </w:rPr>
      </w:pPr>
      <w:r>
        <w:rPr>
          <w:rFonts w:ascii="Arial Narrow" w:hAnsi="Arial Narrow" w:cs="Arial"/>
          <w:b/>
        </w:rPr>
        <w:t>Manuel Domingo Abello Álvarez</w:t>
      </w:r>
    </w:p>
    <w:p w14:paraId="6BF091D3" w14:textId="4E9DB7D5" w:rsidR="00081C2E" w:rsidRDefault="00081C2E" w:rsidP="008C548E">
      <w:pPr>
        <w:pStyle w:val="Listavistosa-nfasis11"/>
        <w:ind w:left="-993"/>
        <w:rPr>
          <w:rFonts w:ascii="Arial Narrow" w:hAnsi="Arial Narrow" w:cs="Arial"/>
          <w:b/>
        </w:rPr>
      </w:pPr>
      <w:r>
        <w:rPr>
          <w:rFonts w:ascii="Arial Narrow" w:hAnsi="Arial Narrow" w:cs="Arial"/>
          <w:b/>
        </w:rPr>
        <w:t>Director Jurídico</w:t>
      </w:r>
    </w:p>
    <w:p w14:paraId="13A249A9" w14:textId="1B87B73F" w:rsidR="00081C2E" w:rsidRPr="00081C2E" w:rsidRDefault="00081C2E" w:rsidP="008C548E">
      <w:pPr>
        <w:pStyle w:val="Listavistosa-nfasis11"/>
        <w:ind w:left="-993"/>
        <w:rPr>
          <w:rFonts w:ascii="Arial Narrow" w:hAnsi="Arial Narrow" w:cs="Arial"/>
          <w:b/>
        </w:rPr>
      </w:pPr>
      <w:r>
        <w:rPr>
          <w:rFonts w:ascii="Arial Narrow" w:hAnsi="Arial Narrow" w:cs="Arial"/>
          <w:b/>
        </w:rPr>
        <w:t>Ministerio de Tecnologías de la Información y las Comunicaciones</w:t>
      </w:r>
    </w:p>
    <w:p w14:paraId="4BE8B521" w14:textId="182DD05A" w:rsidR="00D040A4" w:rsidRPr="00081C2E" w:rsidRDefault="00D040A4" w:rsidP="008C548E">
      <w:pPr>
        <w:pStyle w:val="Listavistosa-nfasis11"/>
        <w:ind w:left="-993"/>
        <w:rPr>
          <w:rFonts w:ascii="Arial Narrow" w:hAnsi="Arial Narrow" w:cs="Arial"/>
          <w:b/>
        </w:rPr>
      </w:pPr>
    </w:p>
    <w:p w14:paraId="309EDA66" w14:textId="77777777" w:rsidR="00D040A4" w:rsidRPr="00081C2E" w:rsidRDefault="00D040A4" w:rsidP="008C548E">
      <w:pPr>
        <w:pStyle w:val="Listavistosa-nfasis11"/>
        <w:ind w:left="-993"/>
        <w:rPr>
          <w:rFonts w:ascii="Arial Narrow" w:hAnsi="Arial Narrow" w:cs="Arial"/>
          <w:b/>
        </w:rPr>
      </w:pPr>
    </w:p>
    <w:p w14:paraId="46D39E6C" w14:textId="080C9E13" w:rsidR="00D040A4" w:rsidRPr="00081C2E" w:rsidRDefault="00D040A4" w:rsidP="008C548E">
      <w:pPr>
        <w:pStyle w:val="Listavistosa-nfasis11"/>
        <w:ind w:left="-993"/>
        <w:rPr>
          <w:rFonts w:ascii="Arial Narrow" w:hAnsi="Arial Narrow" w:cs="Arial"/>
          <w:b/>
        </w:rPr>
      </w:pPr>
    </w:p>
    <w:p w14:paraId="3D738708" w14:textId="5AED1CD5" w:rsidR="00D040A4" w:rsidRPr="00081C2E" w:rsidRDefault="00D040A4" w:rsidP="008C548E">
      <w:pPr>
        <w:pStyle w:val="Listavistosa-nfasis11"/>
        <w:ind w:left="-993"/>
        <w:rPr>
          <w:rFonts w:ascii="Arial Narrow" w:hAnsi="Arial Narrow" w:cs="Arial"/>
          <w:b/>
        </w:rPr>
      </w:pPr>
      <w:r w:rsidRPr="00081C2E">
        <w:rPr>
          <w:rFonts w:ascii="Arial Narrow" w:hAnsi="Arial Narrow" w:cs="Arial"/>
          <w:b/>
        </w:rPr>
        <w:t xml:space="preserve">Jorge </w:t>
      </w:r>
      <w:r w:rsidR="00081C2E">
        <w:rPr>
          <w:rFonts w:ascii="Arial Narrow" w:hAnsi="Arial Narrow" w:cs="Arial"/>
          <w:b/>
        </w:rPr>
        <w:t xml:space="preserve">Guillermo </w:t>
      </w:r>
      <w:r w:rsidRPr="00081C2E">
        <w:rPr>
          <w:rFonts w:ascii="Arial Narrow" w:hAnsi="Arial Narrow" w:cs="Arial"/>
          <w:b/>
        </w:rPr>
        <w:t>Barrera Medina</w:t>
      </w:r>
    </w:p>
    <w:p w14:paraId="624E7861" w14:textId="77777777" w:rsidR="00D040A4" w:rsidRPr="00081C2E" w:rsidRDefault="00D040A4" w:rsidP="008C548E">
      <w:pPr>
        <w:pStyle w:val="Listavistosa-nfasis11"/>
        <w:ind w:left="-993"/>
        <w:rPr>
          <w:rFonts w:ascii="Arial Narrow" w:hAnsi="Arial Narrow" w:cs="Arial"/>
          <w:b/>
        </w:rPr>
      </w:pPr>
      <w:r w:rsidRPr="00081C2E">
        <w:rPr>
          <w:rFonts w:ascii="Arial Narrow" w:hAnsi="Arial Narrow" w:cs="Arial"/>
          <w:b/>
        </w:rPr>
        <w:t xml:space="preserve">Director de Industria de Comunicaciones </w:t>
      </w:r>
    </w:p>
    <w:p w14:paraId="6DBFED46" w14:textId="3E2CB66D" w:rsidR="006779DA" w:rsidRPr="00081C2E" w:rsidRDefault="00464127" w:rsidP="008C548E">
      <w:pPr>
        <w:pStyle w:val="Listavistosa-nfasis11"/>
        <w:ind w:left="-993"/>
        <w:rPr>
          <w:rFonts w:ascii="Arial Narrow" w:hAnsi="Arial Narrow" w:cs="Arial"/>
          <w:b/>
        </w:rPr>
      </w:pPr>
      <w:r w:rsidRPr="00081C2E">
        <w:rPr>
          <w:rFonts w:ascii="Arial Narrow" w:hAnsi="Arial Narrow" w:cs="Arial"/>
          <w:b/>
        </w:rPr>
        <w:t>Ministerio de Tecnologías de la Información y las Comunicaciones</w:t>
      </w:r>
    </w:p>
    <w:sectPr w:rsidR="006779DA" w:rsidRPr="00081C2E" w:rsidSect="00696582">
      <w:headerReference w:type="default" r:id="rId11"/>
      <w:footerReference w:type="default" r:id="rId12"/>
      <w:headerReference w:type="first" r:id="rId13"/>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07E27" w14:textId="77777777" w:rsidR="00926586" w:rsidRDefault="00926586">
      <w:r>
        <w:separator/>
      </w:r>
    </w:p>
  </w:endnote>
  <w:endnote w:type="continuationSeparator" w:id="0">
    <w:p w14:paraId="27B5F1AC" w14:textId="77777777" w:rsidR="00926586" w:rsidRDefault="00926586">
      <w:r>
        <w:continuationSeparator/>
      </w:r>
    </w:p>
  </w:endnote>
  <w:endnote w:type="continuationNotice" w:id="1">
    <w:p w14:paraId="03C83968" w14:textId="77777777" w:rsidR="00926586" w:rsidRDefault="00926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Arial Narrow">
    <w:altName w:val="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ED50" w14:textId="77777777" w:rsidR="00836C6A" w:rsidRDefault="00836C6A">
    <w:pPr>
      <w:pStyle w:val="Piedepgina"/>
      <w:jc w:val="right"/>
    </w:pPr>
    <w:r>
      <w:fldChar w:fldCharType="begin"/>
    </w:r>
    <w:r w:rsidR="00A120D6">
      <w:instrText>PAGE</w:instrText>
    </w:r>
    <w:r>
      <w:instrText xml:space="preserve">   \* MERGEFORMAT</w:instrText>
    </w:r>
    <w:r>
      <w:fldChar w:fldCharType="separate"/>
    </w:r>
    <w:r w:rsidR="008D1D44">
      <w:rPr>
        <w:noProof/>
      </w:rPr>
      <w:t>2</w:t>
    </w:r>
    <w:r>
      <w:fldChar w:fldCharType="end"/>
    </w:r>
  </w:p>
  <w:p w14:paraId="6DBFED51"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81FC5" w14:textId="77777777" w:rsidR="00926586" w:rsidRDefault="00926586">
      <w:r>
        <w:separator/>
      </w:r>
    </w:p>
  </w:footnote>
  <w:footnote w:type="continuationSeparator" w:id="0">
    <w:p w14:paraId="36CFEE67" w14:textId="77777777" w:rsidR="00926586" w:rsidRDefault="00926586">
      <w:r>
        <w:continuationSeparator/>
      </w:r>
    </w:p>
  </w:footnote>
  <w:footnote w:type="continuationNotice" w:id="1">
    <w:p w14:paraId="44A11EDB" w14:textId="77777777" w:rsidR="00926586" w:rsidRDefault="00926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ED4B"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6DBFED4E" w14:textId="77777777" w:rsidTr="001447C1">
      <w:tc>
        <w:tcPr>
          <w:tcW w:w="4253" w:type="dxa"/>
          <w:shd w:val="clear" w:color="auto" w:fill="auto"/>
        </w:tcPr>
        <w:p w14:paraId="6DBFED4C" w14:textId="1C36D8B8" w:rsidR="00696582" w:rsidRDefault="598E53F4" w:rsidP="001447C1">
          <w:pPr>
            <w:pStyle w:val="Encabezado"/>
          </w:pPr>
          <w:r>
            <w:rPr>
              <w:noProof/>
            </w:rPr>
            <w:drawing>
              <wp:inline distT="0" distB="0" distL="0" distR="0" wp14:anchorId="6DBFED56" wp14:editId="2BA1013C">
                <wp:extent cx="2562225"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562225" cy="542925"/>
                        </a:xfrm>
                        <a:prstGeom prst="rect">
                          <a:avLst/>
                        </a:prstGeom>
                      </pic:spPr>
                    </pic:pic>
                  </a:graphicData>
                </a:graphic>
              </wp:inline>
            </w:drawing>
          </w:r>
        </w:p>
      </w:tc>
      <w:tc>
        <w:tcPr>
          <w:tcW w:w="6545" w:type="dxa"/>
          <w:shd w:val="clear" w:color="auto" w:fill="auto"/>
          <w:vAlign w:val="center"/>
        </w:tcPr>
        <w:p w14:paraId="6DBFED4D"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6DBFED4F"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6DBFED54" w14:textId="77777777" w:rsidTr="00FD3D04">
      <w:tc>
        <w:tcPr>
          <w:tcW w:w="4253" w:type="dxa"/>
          <w:shd w:val="clear" w:color="auto" w:fill="auto"/>
        </w:tcPr>
        <w:p w14:paraId="6DBFED52" w14:textId="57E09CD9" w:rsidR="00350767" w:rsidRDefault="598E53F4">
          <w:pPr>
            <w:pStyle w:val="Encabezado"/>
          </w:pPr>
          <w:r>
            <w:rPr>
              <w:noProof/>
            </w:rPr>
            <w:drawing>
              <wp:inline distT="0" distB="0" distL="0" distR="0" wp14:anchorId="6DBFED57" wp14:editId="72813EA2">
                <wp:extent cx="2562225" cy="5429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62225" cy="542925"/>
                        </a:xfrm>
                        <a:prstGeom prst="rect">
                          <a:avLst/>
                        </a:prstGeom>
                      </pic:spPr>
                    </pic:pic>
                  </a:graphicData>
                </a:graphic>
              </wp:inline>
            </w:drawing>
          </w:r>
        </w:p>
      </w:tc>
      <w:tc>
        <w:tcPr>
          <w:tcW w:w="6545" w:type="dxa"/>
          <w:shd w:val="clear" w:color="auto" w:fill="auto"/>
          <w:vAlign w:val="center"/>
        </w:tcPr>
        <w:p w14:paraId="6DBFED53"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6DBFED55"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6BB44180"/>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F1F91"/>
    <w:multiLevelType w:val="hybridMultilevel"/>
    <w:tmpl w:val="607CEDAA"/>
    <w:lvl w:ilvl="0" w:tplc="101A1CFA">
      <w:start w:val="3"/>
      <w:numFmt w:val="bullet"/>
      <w:lvlText w:val="-"/>
      <w:lvlJc w:val="left"/>
      <w:pPr>
        <w:ind w:left="720" w:hanging="360"/>
      </w:pPr>
      <w:rPr>
        <w:rFonts w:ascii="Arial" w:eastAsia="Calibri" w:hAnsi="Arial" w:cs="Arial"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6"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5641746"/>
    <w:multiLevelType w:val="hybridMultilevel"/>
    <w:tmpl w:val="FDDED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741AE7"/>
    <w:multiLevelType w:val="hybridMultilevel"/>
    <w:tmpl w:val="A00A2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5F423FF4"/>
    <w:multiLevelType w:val="multilevel"/>
    <w:tmpl w:val="4E0A44E0"/>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7"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8"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A90CD0"/>
    <w:multiLevelType w:val="hybridMultilevel"/>
    <w:tmpl w:val="68E80358"/>
    <w:lvl w:ilvl="0" w:tplc="101A1CFA">
      <w:start w:val="3"/>
      <w:numFmt w:val="bullet"/>
      <w:lvlText w:val="-"/>
      <w:lvlJc w:val="left"/>
      <w:pPr>
        <w:ind w:left="720" w:hanging="360"/>
      </w:pPr>
      <w:rPr>
        <w:rFonts w:ascii="Arial" w:eastAsia="Calibri" w:hAnsi="Arial" w:cs="Arial"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1"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5"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1"/>
  </w:num>
  <w:num w:numId="4">
    <w:abstractNumId w:val="8"/>
  </w:num>
  <w:num w:numId="5">
    <w:abstractNumId w:val="16"/>
  </w:num>
  <w:num w:numId="6">
    <w:abstractNumId w:val="34"/>
  </w:num>
  <w:num w:numId="7">
    <w:abstractNumId w:val="9"/>
  </w:num>
  <w:num w:numId="8">
    <w:abstractNumId w:val="18"/>
  </w:num>
  <w:num w:numId="9">
    <w:abstractNumId w:val="6"/>
  </w:num>
  <w:num w:numId="10">
    <w:abstractNumId w:val="22"/>
  </w:num>
  <w:num w:numId="11">
    <w:abstractNumId w:val="13"/>
  </w:num>
  <w:num w:numId="12">
    <w:abstractNumId w:val="35"/>
  </w:num>
  <w:num w:numId="13">
    <w:abstractNumId w:val="42"/>
  </w:num>
  <w:num w:numId="14">
    <w:abstractNumId w:val="43"/>
  </w:num>
  <w:num w:numId="15">
    <w:abstractNumId w:val="1"/>
  </w:num>
  <w:num w:numId="16">
    <w:abstractNumId w:val="23"/>
  </w:num>
  <w:num w:numId="17">
    <w:abstractNumId w:val="4"/>
  </w:num>
  <w:num w:numId="18">
    <w:abstractNumId w:val="25"/>
  </w:num>
  <w:num w:numId="19">
    <w:abstractNumId w:val="30"/>
  </w:num>
  <w:num w:numId="20">
    <w:abstractNumId w:val="0"/>
  </w:num>
  <w:num w:numId="21">
    <w:abstractNumId w:val="10"/>
  </w:num>
  <w:num w:numId="22">
    <w:abstractNumId w:val="2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1"/>
  </w:num>
  <w:num w:numId="26">
    <w:abstractNumId w:val="32"/>
  </w:num>
  <w:num w:numId="27">
    <w:abstractNumId w:val="28"/>
  </w:num>
  <w:num w:numId="28">
    <w:abstractNumId w:val="44"/>
  </w:num>
  <w:num w:numId="29">
    <w:abstractNumId w:val="1"/>
  </w:num>
  <w:num w:numId="30">
    <w:abstractNumId w:val="46"/>
  </w:num>
  <w:num w:numId="31">
    <w:abstractNumId w:val="24"/>
  </w:num>
  <w:num w:numId="32">
    <w:abstractNumId w:val="38"/>
  </w:num>
  <w:num w:numId="33">
    <w:abstractNumId w:val="26"/>
  </w:num>
  <w:num w:numId="34">
    <w:abstractNumId w:val="37"/>
  </w:num>
  <w:num w:numId="35">
    <w:abstractNumId w:val="14"/>
  </w:num>
  <w:num w:numId="36">
    <w:abstractNumId w:val="5"/>
  </w:num>
  <w:num w:numId="37">
    <w:abstractNumId w:val="2"/>
  </w:num>
  <w:num w:numId="38">
    <w:abstractNumId w:val="31"/>
  </w:num>
  <w:num w:numId="39">
    <w:abstractNumId w:val="36"/>
  </w:num>
  <w:num w:numId="40">
    <w:abstractNumId w:val="15"/>
  </w:num>
  <w:num w:numId="41">
    <w:abstractNumId w:val="45"/>
  </w:num>
  <w:num w:numId="42">
    <w:abstractNumId w:val="19"/>
  </w:num>
  <w:num w:numId="43">
    <w:abstractNumId w:val="3"/>
  </w:num>
  <w:num w:numId="44">
    <w:abstractNumId w:val="12"/>
  </w:num>
  <w:num w:numId="45">
    <w:abstractNumId w:val="21"/>
  </w:num>
  <w:num w:numId="46">
    <w:abstractNumId w:val="17"/>
  </w:num>
  <w:num w:numId="47">
    <w:abstractNumId w:val="29"/>
  </w:num>
  <w:num w:numId="48">
    <w:abstractNumId w:val="3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B93"/>
    <w:rsid w:val="00006F83"/>
    <w:rsid w:val="00007F07"/>
    <w:rsid w:val="00011FA9"/>
    <w:rsid w:val="00013C42"/>
    <w:rsid w:val="00014D67"/>
    <w:rsid w:val="00015F0C"/>
    <w:rsid w:val="00016A94"/>
    <w:rsid w:val="00021FCC"/>
    <w:rsid w:val="00024F34"/>
    <w:rsid w:val="0002546A"/>
    <w:rsid w:val="00026302"/>
    <w:rsid w:val="00032CBF"/>
    <w:rsid w:val="0004205E"/>
    <w:rsid w:val="00047A6E"/>
    <w:rsid w:val="00050524"/>
    <w:rsid w:val="00066463"/>
    <w:rsid w:val="0007636F"/>
    <w:rsid w:val="00081C2E"/>
    <w:rsid w:val="00081CEE"/>
    <w:rsid w:val="00084B49"/>
    <w:rsid w:val="00086B16"/>
    <w:rsid w:val="00092C0A"/>
    <w:rsid w:val="00094D9F"/>
    <w:rsid w:val="000A35DA"/>
    <w:rsid w:val="000A3E34"/>
    <w:rsid w:val="000B30A6"/>
    <w:rsid w:val="000B39C5"/>
    <w:rsid w:val="000B50F1"/>
    <w:rsid w:val="000B5DEB"/>
    <w:rsid w:val="000C41BE"/>
    <w:rsid w:val="000C5926"/>
    <w:rsid w:val="000C614C"/>
    <w:rsid w:val="000C6C52"/>
    <w:rsid w:val="000D1904"/>
    <w:rsid w:val="000D2DA8"/>
    <w:rsid w:val="000D3AC8"/>
    <w:rsid w:val="000D512E"/>
    <w:rsid w:val="000D5A8C"/>
    <w:rsid w:val="000E0152"/>
    <w:rsid w:val="000E370D"/>
    <w:rsid w:val="000E3E28"/>
    <w:rsid w:val="000E65A4"/>
    <w:rsid w:val="00105533"/>
    <w:rsid w:val="001072FB"/>
    <w:rsid w:val="00116659"/>
    <w:rsid w:val="001175AA"/>
    <w:rsid w:val="001213B5"/>
    <w:rsid w:val="00125A3A"/>
    <w:rsid w:val="00126916"/>
    <w:rsid w:val="00126980"/>
    <w:rsid w:val="001303DD"/>
    <w:rsid w:val="001348DA"/>
    <w:rsid w:val="001365B5"/>
    <w:rsid w:val="00136CD0"/>
    <w:rsid w:val="0013737F"/>
    <w:rsid w:val="0014177B"/>
    <w:rsid w:val="00142BF2"/>
    <w:rsid w:val="001447C1"/>
    <w:rsid w:val="0014597A"/>
    <w:rsid w:val="00145BCA"/>
    <w:rsid w:val="0015216F"/>
    <w:rsid w:val="00153523"/>
    <w:rsid w:val="00157729"/>
    <w:rsid w:val="00164587"/>
    <w:rsid w:val="001665A3"/>
    <w:rsid w:val="001743EF"/>
    <w:rsid w:val="00174A31"/>
    <w:rsid w:val="00177232"/>
    <w:rsid w:val="001776F9"/>
    <w:rsid w:val="00187186"/>
    <w:rsid w:val="00196C81"/>
    <w:rsid w:val="001978EB"/>
    <w:rsid w:val="00197943"/>
    <w:rsid w:val="001A2AF1"/>
    <w:rsid w:val="001C013E"/>
    <w:rsid w:val="001C6FA2"/>
    <w:rsid w:val="001D1743"/>
    <w:rsid w:val="001D17CF"/>
    <w:rsid w:val="001E2543"/>
    <w:rsid w:val="001E6C60"/>
    <w:rsid w:val="001F238A"/>
    <w:rsid w:val="001F247E"/>
    <w:rsid w:val="0021519B"/>
    <w:rsid w:val="002171A2"/>
    <w:rsid w:val="002217D1"/>
    <w:rsid w:val="002264B8"/>
    <w:rsid w:val="00235361"/>
    <w:rsid w:val="00236F62"/>
    <w:rsid w:val="00236FF0"/>
    <w:rsid w:val="00237D76"/>
    <w:rsid w:val="00251FCE"/>
    <w:rsid w:val="00252F13"/>
    <w:rsid w:val="00254313"/>
    <w:rsid w:val="00256812"/>
    <w:rsid w:val="00263A6B"/>
    <w:rsid w:val="0026513E"/>
    <w:rsid w:val="00265AF2"/>
    <w:rsid w:val="002729A5"/>
    <w:rsid w:val="002862C1"/>
    <w:rsid w:val="00286449"/>
    <w:rsid w:val="002872FD"/>
    <w:rsid w:val="00287EC3"/>
    <w:rsid w:val="00293F29"/>
    <w:rsid w:val="002941D1"/>
    <w:rsid w:val="002A2A12"/>
    <w:rsid w:val="002C05D0"/>
    <w:rsid w:val="002C6429"/>
    <w:rsid w:val="002D096D"/>
    <w:rsid w:val="002D11FE"/>
    <w:rsid w:val="002D2CB2"/>
    <w:rsid w:val="002D35EC"/>
    <w:rsid w:val="002D3FE3"/>
    <w:rsid w:val="002D5E8B"/>
    <w:rsid w:val="002D738A"/>
    <w:rsid w:val="002D7F6D"/>
    <w:rsid w:val="002E4A97"/>
    <w:rsid w:val="002E71C4"/>
    <w:rsid w:val="002F226A"/>
    <w:rsid w:val="00301DC2"/>
    <w:rsid w:val="0030518C"/>
    <w:rsid w:val="00311733"/>
    <w:rsid w:val="003159AA"/>
    <w:rsid w:val="003227FD"/>
    <w:rsid w:val="00325A55"/>
    <w:rsid w:val="003343DB"/>
    <w:rsid w:val="00336655"/>
    <w:rsid w:val="00341A35"/>
    <w:rsid w:val="00341DBD"/>
    <w:rsid w:val="00342B3C"/>
    <w:rsid w:val="00346554"/>
    <w:rsid w:val="003503EB"/>
    <w:rsid w:val="00350767"/>
    <w:rsid w:val="00350E4B"/>
    <w:rsid w:val="003533A1"/>
    <w:rsid w:val="00353FD7"/>
    <w:rsid w:val="003651DE"/>
    <w:rsid w:val="00367CB8"/>
    <w:rsid w:val="00370058"/>
    <w:rsid w:val="003711C0"/>
    <w:rsid w:val="00373197"/>
    <w:rsid w:val="00375320"/>
    <w:rsid w:val="00380514"/>
    <w:rsid w:val="00380B53"/>
    <w:rsid w:val="0038390A"/>
    <w:rsid w:val="00387E3E"/>
    <w:rsid w:val="003960C3"/>
    <w:rsid w:val="003A0BBF"/>
    <w:rsid w:val="003A3C08"/>
    <w:rsid w:val="003A6449"/>
    <w:rsid w:val="003A73D2"/>
    <w:rsid w:val="003B3F46"/>
    <w:rsid w:val="003B4DDE"/>
    <w:rsid w:val="003B625C"/>
    <w:rsid w:val="003C0C28"/>
    <w:rsid w:val="003C0F32"/>
    <w:rsid w:val="003C299D"/>
    <w:rsid w:val="003C6CAC"/>
    <w:rsid w:val="003D3516"/>
    <w:rsid w:val="003E1394"/>
    <w:rsid w:val="003E582F"/>
    <w:rsid w:val="003F375C"/>
    <w:rsid w:val="00401B59"/>
    <w:rsid w:val="00404FB6"/>
    <w:rsid w:val="00405CE5"/>
    <w:rsid w:val="00413409"/>
    <w:rsid w:val="0041604F"/>
    <w:rsid w:val="00427DD9"/>
    <w:rsid w:val="004317DB"/>
    <w:rsid w:val="00432C5C"/>
    <w:rsid w:val="00435840"/>
    <w:rsid w:val="00437C19"/>
    <w:rsid w:val="004570CA"/>
    <w:rsid w:val="00461D1F"/>
    <w:rsid w:val="00464127"/>
    <w:rsid w:val="00470148"/>
    <w:rsid w:val="00470526"/>
    <w:rsid w:val="004848A4"/>
    <w:rsid w:val="00486605"/>
    <w:rsid w:val="004904AC"/>
    <w:rsid w:val="004A0755"/>
    <w:rsid w:val="004A6BE3"/>
    <w:rsid w:val="004B078F"/>
    <w:rsid w:val="004C213A"/>
    <w:rsid w:val="004C4371"/>
    <w:rsid w:val="004C7D38"/>
    <w:rsid w:val="004D0D86"/>
    <w:rsid w:val="004D10C6"/>
    <w:rsid w:val="004D1DBD"/>
    <w:rsid w:val="004D2643"/>
    <w:rsid w:val="004D294E"/>
    <w:rsid w:val="004D3D03"/>
    <w:rsid w:val="004D4586"/>
    <w:rsid w:val="004D6329"/>
    <w:rsid w:val="004E034B"/>
    <w:rsid w:val="004E17FC"/>
    <w:rsid w:val="004E274E"/>
    <w:rsid w:val="004E517F"/>
    <w:rsid w:val="004F45E2"/>
    <w:rsid w:val="004F778E"/>
    <w:rsid w:val="004F7A38"/>
    <w:rsid w:val="0050148F"/>
    <w:rsid w:val="00501917"/>
    <w:rsid w:val="00502F91"/>
    <w:rsid w:val="005045D9"/>
    <w:rsid w:val="00520AAA"/>
    <w:rsid w:val="00520B2A"/>
    <w:rsid w:val="005338E4"/>
    <w:rsid w:val="0054286C"/>
    <w:rsid w:val="00543E5A"/>
    <w:rsid w:val="005451A5"/>
    <w:rsid w:val="00545A32"/>
    <w:rsid w:val="0054645F"/>
    <w:rsid w:val="005616ED"/>
    <w:rsid w:val="005629D0"/>
    <w:rsid w:val="00564A4E"/>
    <w:rsid w:val="005815B6"/>
    <w:rsid w:val="00584129"/>
    <w:rsid w:val="00584E85"/>
    <w:rsid w:val="005871DA"/>
    <w:rsid w:val="00587695"/>
    <w:rsid w:val="0059054D"/>
    <w:rsid w:val="0059316B"/>
    <w:rsid w:val="005949A8"/>
    <w:rsid w:val="005A077D"/>
    <w:rsid w:val="005A26EB"/>
    <w:rsid w:val="005A4320"/>
    <w:rsid w:val="005A498D"/>
    <w:rsid w:val="005C19CA"/>
    <w:rsid w:val="005C4522"/>
    <w:rsid w:val="005D49BF"/>
    <w:rsid w:val="005E6AB4"/>
    <w:rsid w:val="005F30C3"/>
    <w:rsid w:val="005F5B60"/>
    <w:rsid w:val="005F7863"/>
    <w:rsid w:val="006027E0"/>
    <w:rsid w:val="0060353B"/>
    <w:rsid w:val="00616514"/>
    <w:rsid w:val="00620876"/>
    <w:rsid w:val="00624FD0"/>
    <w:rsid w:val="00630C5E"/>
    <w:rsid w:val="006315B4"/>
    <w:rsid w:val="00635AC3"/>
    <w:rsid w:val="006369C6"/>
    <w:rsid w:val="00636FFB"/>
    <w:rsid w:val="00654CCF"/>
    <w:rsid w:val="00665F82"/>
    <w:rsid w:val="0067186C"/>
    <w:rsid w:val="00671E11"/>
    <w:rsid w:val="006779DA"/>
    <w:rsid w:val="00687EB3"/>
    <w:rsid w:val="00692980"/>
    <w:rsid w:val="00693246"/>
    <w:rsid w:val="0069506F"/>
    <w:rsid w:val="00696582"/>
    <w:rsid w:val="006A1DBB"/>
    <w:rsid w:val="006B4E40"/>
    <w:rsid w:val="006B515A"/>
    <w:rsid w:val="006B5225"/>
    <w:rsid w:val="006B5EAF"/>
    <w:rsid w:val="006C103A"/>
    <w:rsid w:val="006C4E6A"/>
    <w:rsid w:val="006C50E8"/>
    <w:rsid w:val="006D464D"/>
    <w:rsid w:val="006D4716"/>
    <w:rsid w:val="006E42F2"/>
    <w:rsid w:val="006E6F11"/>
    <w:rsid w:val="006F0B6B"/>
    <w:rsid w:val="006F144D"/>
    <w:rsid w:val="006F461B"/>
    <w:rsid w:val="006F622C"/>
    <w:rsid w:val="00700FF6"/>
    <w:rsid w:val="00702DBC"/>
    <w:rsid w:val="00704D44"/>
    <w:rsid w:val="00715A68"/>
    <w:rsid w:val="00715DD5"/>
    <w:rsid w:val="00715ECF"/>
    <w:rsid w:val="00717A04"/>
    <w:rsid w:val="00717BFE"/>
    <w:rsid w:val="007208C5"/>
    <w:rsid w:val="00725BB4"/>
    <w:rsid w:val="0073180A"/>
    <w:rsid w:val="00732997"/>
    <w:rsid w:val="007336C3"/>
    <w:rsid w:val="00735033"/>
    <w:rsid w:val="007360FA"/>
    <w:rsid w:val="00756485"/>
    <w:rsid w:val="0075705D"/>
    <w:rsid w:val="00762068"/>
    <w:rsid w:val="007626E1"/>
    <w:rsid w:val="007645F1"/>
    <w:rsid w:val="00767D71"/>
    <w:rsid w:val="00767F65"/>
    <w:rsid w:val="00770D6C"/>
    <w:rsid w:val="00783515"/>
    <w:rsid w:val="00786DC6"/>
    <w:rsid w:val="00787C94"/>
    <w:rsid w:val="00791BCB"/>
    <w:rsid w:val="007921BD"/>
    <w:rsid w:val="00793A02"/>
    <w:rsid w:val="00795C6B"/>
    <w:rsid w:val="007A1566"/>
    <w:rsid w:val="007A3995"/>
    <w:rsid w:val="007A5AC5"/>
    <w:rsid w:val="007B622D"/>
    <w:rsid w:val="007C4288"/>
    <w:rsid w:val="007C484E"/>
    <w:rsid w:val="007D1C0F"/>
    <w:rsid w:val="007D4853"/>
    <w:rsid w:val="007D57C4"/>
    <w:rsid w:val="007D59DF"/>
    <w:rsid w:val="007E0429"/>
    <w:rsid w:val="007E41DE"/>
    <w:rsid w:val="007E4CE3"/>
    <w:rsid w:val="007F2B1F"/>
    <w:rsid w:val="00802F7A"/>
    <w:rsid w:val="00806A1C"/>
    <w:rsid w:val="0080773A"/>
    <w:rsid w:val="0081092C"/>
    <w:rsid w:val="008173F3"/>
    <w:rsid w:val="0082117C"/>
    <w:rsid w:val="008227E9"/>
    <w:rsid w:val="008252C5"/>
    <w:rsid w:val="0083157B"/>
    <w:rsid w:val="00831860"/>
    <w:rsid w:val="00832F2D"/>
    <w:rsid w:val="00836C6A"/>
    <w:rsid w:val="0083786A"/>
    <w:rsid w:val="00841C9F"/>
    <w:rsid w:val="0084294E"/>
    <w:rsid w:val="00843EFF"/>
    <w:rsid w:val="008442A5"/>
    <w:rsid w:val="008477A9"/>
    <w:rsid w:val="0085416A"/>
    <w:rsid w:val="00856B0F"/>
    <w:rsid w:val="008633D7"/>
    <w:rsid w:val="0087186A"/>
    <w:rsid w:val="00872C56"/>
    <w:rsid w:val="00874F67"/>
    <w:rsid w:val="00876AC2"/>
    <w:rsid w:val="00883F43"/>
    <w:rsid w:val="00884C98"/>
    <w:rsid w:val="00884CE2"/>
    <w:rsid w:val="00885E7D"/>
    <w:rsid w:val="0089363F"/>
    <w:rsid w:val="00894D05"/>
    <w:rsid w:val="00896ED8"/>
    <w:rsid w:val="008A025C"/>
    <w:rsid w:val="008A209D"/>
    <w:rsid w:val="008A2436"/>
    <w:rsid w:val="008A4E8C"/>
    <w:rsid w:val="008A563D"/>
    <w:rsid w:val="008B3B0A"/>
    <w:rsid w:val="008B78C7"/>
    <w:rsid w:val="008C2BA0"/>
    <w:rsid w:val="008C548E"/>
    <w:rsid w:val="008C69F2"/>
    <w:rsid w:val="008D1D44"/>
    <w:rsid w:val="008D3E6C"/>
    <w:rsid w:val="008E04EC"/>
    <w:rsid w:val="008E43F4"/>
    <w:rsid w:val="008F42F6"/>
    <w:rsid w:val="008F5282"/>
    <w:rsid w:val="008F57E9"/>
    <w:rsid w:val="00910455"/>
    <w:rsid w:val="00912BAC"/>
    <w:rsid w:val="0091743E"/>
    <w:rsid w:val="00925058"/>
    <w:rsid w:val="00926586"/>
    <w:rsid w:val="00926CDB"/>
    <w:rsid w:val="00930113"/>
    <w:rsid w:val="00932C5E"/>
    <w:rsid w:val="009356EC"/>
    <w:rsid w:val="00937FB2"/>
    <w:rsid w:val="0094114F"/>
    <w:rsid w:val="00944F82"/>
    <w:rsid w:val="0095690D"/>
    <w:rsid w:val="009609C5"/>
    <w:rsid w:val="00962F60"/>
    <w:rsid w:val="00965B1A"/>
    <w:rsid w:val="00971B57"/>
    <w:rsid w:val="00976933"/>
    <w:rsid w:val="00981893"/>
    <w:rsid w:val="00984974"/>
    <w:rsid w:val="00986438"/>
    <w:rsid w:val="00987DBF"/>
    <w:rsid w:val="009910BF"/>
    <w:rsid w:val="009970F9"/>
    <w:rsid w:val="009A5590"/>
    <w:rsid w:val="009B1097"/>
    <w:rsid w:val="009C37D5"/>
    <w:rsid w:val="009C3837"/>
    <w:rsid w:val="009C44BD"/>
    <w:rsid w:val="009C537F"/>
    <w:rsid w:val="009D0215"/>
    <w:rsid w:val="009D0585"/>
    <w:rsid w:val="009D2BB3"/>
    <w:rsid w:val="009E0846"/>
    <w:rsid w:val="009E0DD0"/>
    <w:rsid w:val="009E1EF4"/>
    <w:rsid w:val="009E1F32"/>
    <w:rsid w:val="009E4BD5"/>
    <w:rsid w:val="009F1BE0"/>
    <w:rsid w:val="009F7CED"/>
    <w:rsid w:val="00A04569"/>
    <w:rsid w:val="00A0736A"/>
    <w:rsid w:val="00A07DE7"/>
    <w:rsid w:val="00A120D6"/>
    <w:rsid w:val="00A1301A"/>
    <w:rsid w:val="00A14C37"/>
    <w:rsid w:val="00A15A9E"/>
    <w:rsid w:val="00A161B9"/>
    <w:rsid w:val="00A21854"/>
    <w:rsid w:val="00A219D7"/>
    <w:rsid w:val="00A2785C"/>
    <w:rsid w:val="00A33DCF"/>
    <w:rsid w:val="00A377FE"/>
    <w:rsid w:val="00A4128C"/>
    <w:rsid w:val="00A41AEF"/>
    <w:rsid w:val="00A447B3"/>
    <w:rsid w:val="00A500DD"/>
    <w:rsid w:val="00A52C3F"/>
    <w:rsid w:val="00A55DB6"/>
    <w:rsid w:val="00A61784"/>
    <w:rsid w:val="00A64120"/>
    <w:rsid w:val="00A72973"/>
    <w:rsid w:val="00A74AFD"/>
    <w:rsid w:val="00A80613"/>
    <w:rsid w:val="00A83A98"/>
    <w:rsid w:val="00A85AEA"/>
    <w:rsid w:val="00A94019"/>
    <w:rsid w:val="00AA28E8"/>
    <w:rsid w:val="00AB0708"/>
    <w:rsid w:val="00AB0C45"/>
    <w:rsid w:val="00AB6652"/>
    <w:rsid w:val="00AB7713"/>
    <w:rsid w:val="00AC1AF8"/>
    <w:rsid w:val="00AC447D"/>
    <w:rsid w:val="00AC6889"/>
    <w:rsid w:val="00AD5446"/>
    <w:rsid w:val="00AD623F"/>
    <w:rsid w:val="00AD7762"/>
    <w:rsid w:val="00AE03F3"/>
    <w:rsid w:val="00AF5E71"/>
    <w:rsid w:val="00B009F4"/>
    <w:rsid w:val="00B13AE3"/>
    <w:rsid w:val="00B25550"/>
    <w:rsid w:val="00B30DCD"/>
    <w:rsid w:val="00B377D3"/>
    <w:rsid w:val="00B4178F"/>
    <w:rsid w:val="00B4216E"/>
    <w:rsid w:val="00B448DC"/>
    <w:rsid w:val="00B463AC"/>
    <w:rsid w:val="00B51095"/>
    <w:rsid w:val="00B6123C"/>
    <w:rsid w:val="00B61CA6"/>
    <w:rsid w:val="00B65F1B"/>
    <w:rsid w:val="00B66D03"/>
    <w:rsid w:val="00B7000F"/>
    <w:rsid w:val="00B729FC"/>
    <w:rsid w:val="00B73EC6"/>
    <w:rsid w:val="00B766E4"/>
    <w:rsid w:val="00B7789F"/>
    <w:rsid w:val="00B8326D"/>
    <w:rsid w:val="00B84AF8"/>
    <w:rsid w:val="00B937B6"/>
    <w:rsid w:val="00B94D2A"/>
    <w:rsid w:val="00BA450F"/>
    <w:rsid w:val="00BA5765"/>
    <w:rsid w:val="00BA5F95"/>
    <w:rsid w:val="00BB276D"/>
    <w:rsid w:val="00BB545F"/>
    <w:rsid w:val="00BC4E8C"/>
    <w:rsid w:val="00BD29E8"/>
    <w:rsid w:val="00BD47A7"/>
    <w:rsid w:val="00BD4B65"/>
    <w:rsid w:val="00BE280C"/>
    <w:rsid w:val="00BF054E"/>
    <w:rsid w:val="00BF0DB9"/>
    <w:rsid w:val="00C00624"/>
    <w:rsid w:val="00C02959"/>
    <w:rsid w:val="00C12B93"/>
    <w:rsid w:val="00C134C3"/>
    <w:rsid w:val="00C23F63"/>
    <w:rsid w:val="00C26C14"/>
    <w:rsid w:val="00C27D76"/>
    <w:rsid w:val="00C31D59"/>
    <w:rsid w:val="00C36892"/>
    <w:rsid w:val="00C4009A"/>
    <w:rsid w:val="00C401C2"/>
    <w:rsid w:val="00C46330"/>
    <w:rsid w:val="00C463F8"/>
    <w:rsid w:val="00C47F73"/>
    <w:rsid w:val="00C52E86"/>
    <w:rsid w:val="00C6077B"/>
    <w:rsid w:val="00C61441"/>
    <w:rsid w:val="00C70E5D"/>
    <w:rsid w:val="00C7294E"/>
    <w:rsid w:val="00C91F90"/>
    <w:rsid w:val="00CA0C52"/>
    <w:rsid w:val="00CA57DF"/>
    <w:rsid w:val="00CB0063"/>
    <w:rsid w:val="00CB4D37"/>
    <w:rsid w:val="00CB66F7"/>
    <w:rsid w:val="00CC0C62"/>
    <w:rsid w:val="00CC259C"/>
    <w:rsid w:val="00CC38D1"/>
    <w:rsid w:val="00CC42D1"/>
    <w:rsid w:val="00CC5B3E"/>
    <w:rsid w:val="00CC79CB"/>
    <w:rsid w:val="00CD04FC"/>
    <w:rsid w:val="00CE1A87"/>
    <w:rsid w:val="00CE2401"/>
    <w:rsid w:val="00CE75D5"/>
    <w:rsid w:val="00CF25EF"/>
    <w:rsid w:val="00D040A4"/>
    <w:rsid w:val="00D04A96"/>
    <w:rsid w:val="00D05B67"/>
    <w:rsid w:val="00D05D52"/>
    <w:rsid w:val="00D06F93"/>
    <w:rsid w:val="00D24980"/>
    <w:rsid w:val="00D26D53"/>
    <w:rsid w:val="00D278FC"/>
    <w:rsid w:val="00D31F43"/>
    <w:rsid w:val="00D35626"/>
    <w:rsid w:val="00D40E59"/>
    <w:rsid w:val="00D415E6"/>
    <w:rsid w:val="00D444C5"/>
    <w:rsid w:val="00D45D31"/>
    <w:rsid w:val="00D4776B"/>
    <w:rsid w:val="00D530DC"/>
    <w:rsid w:val="00D62023"/>
    <w:rsid w:val="00D7070F"/>
    <w:rsid w:val="00D709DD"/>
    <w:rsid w:val="00D719AA"/>
    <w:rsid w:val="00D72D8A"/>
    <w:rsid w:val="00D8294A"/>
    <w:rsid w:val="00D83F98"/>
    <w:rsid w:val="00D84A75"/>
    <w:rsid w:val="00D85F90"/>
    <w:rsid w:val="00D90649"/>
    <w:rsid w:val="00D91E89"/>
    <w:rsid w:val="00D91EF5"/>
    <w:rsid w:val="00D9213D"/>
    <w:rsid w:val="00D965B1"/>
    <w:rsid w:val="00D97DF9"/>
    <w:rsid w:val="00DA6526"/>
    <w:rsid w:val="00DA6C54"/>
    <w:rsid w:val="00DC54A3"/>
    <w:rsid w:val="00DD181C"/>
    <w:rsid w:val="00DD2F2C"/>
    <w:rsid w:val="00DD48D9"/>
    <w:rsid w:val="00DD6519"/>
    <w:rsid w:val="00DE1540"/>
    <w:rsid w:val="00DE2C39"/>
    <w:rsid w:val="00DE520C"/>
    <w:rsid w:val="00DF1E66"/>
    <w:rsid w:val="00DF60FD"/>
    <w:rsid w:val="00DF6410"/>
    <w:rsid w:val="00E007F7"/>
    <w:rsid w:val="00E05F18"/>
    <w:rsid w:val="00E05FD6"/>
    <w:rsid w:val="00E06A27"/>
    <w:rsid w:val="00E10BE2"/>
    <w:rsid w:val="00E12202"/>
    <w:rsid w:val="00E233BC"/>
    <w:rsid w:val="00E242C5"/>
    <w:rsid w:val="00E24673"/>
    <w:rsid w:val="00E24F26"/>
    <w:rsid w:val="00E261B4"/>
    <w:rsid w:val="00E31E85"/>
    <w:rsid w:val="00E407FF"/>
    <w:rsid w:val="00E40C34"/>
    <w:rsid w:val="00E41E2C"/>
    <w:rsid w:val="00E44207"/>
    <w:rsid w:val="00E60221"/>
    <w:rsid w:val="00E61742"/>
    <w:rsid w:val="00E62F83"/>
    <w:rsid w:val="00E66C57"/>
    <w:rsid w:val="00E66D00"/>
    <w:rsid w:val="00E7224C"/>
    <w:rsid w:val="00E729F2"/>
    <w:rsid w:val="00E75DBD"/>
    <w:rsid w:val="00E805D3"/>
    <w:rsid w:val="00E80826"/>
    <w:rsid w:val="00E84DA1"/>
    <w:rsid w:val="00E91332"/>
    <w:rsid w:val="00EA3045"/>
    <w:rsid w:val="00EB4A8D"/>
    <w:rsid w:val="00EC1DE8"/>
    <w:rsid w:val="00EC35AE"/>
    <w:rsid w:val="00ED3400"/>
    <w:rsid w:val="00ED4708"/>
    <w:rsid w:val="00EE0D69"/>
    <w:rsid w:val="00EE0F26"/>
    <w:rsid w:val="00EE2ABB"/>
    <w:rsid w:val="00EF192B"/>
    <w:rsid w:val="00F06B8A"/>
    <w:rsid w:val="00F07A7D"/>
    <w:rsid w:val="00F1295A"/>
    <w:rsid w:val="00F153C1"/>
    <w:rsid w:val="00F16839"/>
    <w:rsid w:val="00F211E7"/>
    <w:rsid w:val="00F21D37"/>
    <w:rsid w:val="00F221F0"/>
    <w:rsid w:val="00F26136"/>
    <w:rsid w:val="00F2713B"/>
    <w:rsid w:val="00F305D8"/>
    <w:rsid w:val="00F37106"/>
    <w:rsid w:val="00F44A2E"/>
    <w:rsid w:val="00F47D57"/>
    <w:rsid w:val="00F53CFE"/>
    <w:rsid w:val="00F55DC4"/>
    <w:rsid w:val="00F576B3"/>
    <w:rsid w:val="00F71410"/>
    <w:rsid w:val="00F745E1"/>
    <w:rsid w:val="00F75A79"/>
    <w:rsid w:val="00F7620E"/>
    <w:rsid w:val="00F775AD"/>
    <w:rsid w:val="00F80E07"/>
    <w:rsid w:val="00F813D1"/>
    <w:rsid w:val="00F878CF"/>
    <w:rsid w:val="00F90326"/>
    <w:rsid w:val="00F90F86"/>
    <w:rsid w:val="00F91EBB"/>
    <w:rsid w:val="00F92DF0"/>
    <w:rsid w:val="00F96790"/>
    <w:rsid w:val="00FA0454"/>
    <w:rsid w:val="00FA2EC4"/>
    <w:rsid w:val="00FA4A9E"/>
    <w:rsid w:val="00FB1248"/>
    <w:rsid w:val="00FB217D"/>
    <w:rsid w:val="00FB29CC"/>
    <w:rsid w:val="00FC0522"/>
    <w:rsid w:val="00FC2DE3"/>
    <w:rsid w:val="00FD3D04"/>
    <w:rsid w:val="00FD49A0"/>
    <w:rsid w:val="00FE27DE"/>
    <w:rsid w:val="00FF66CA"/>
    <w:rsid w:val="10E7DC6F"/>
    <w:rsid w:val="598E53F4"/>
    <w:rsid w:val="67ACB320"/>
    <w:rsid w:val="790AA09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FECDB"/>
  <w15:chartTrackingRefBased/>
  <w15:docId w15:val="{D04FD60A-DBA6-4F6C-8F4D-8AD6528E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hapter,Viñetas - bolitas 3er nivel,List Paragraph21,Segundo nivel de viñetas,titulo 3,lp1,Scitum normal,Bullet List,FooterText,List Paragraph1,numbered,Paragraphe de liste1,Bulletr List Paragraph,Foot,列出段落,列出段落1,List Paragraph2,リスト段落1"/>
    <w:basedOn w:val="Normal"/>
    <w:link w:val="PrrafodelistaCar"/>
    <w:uiPriority w:val="34"/>
    <w:qFormat/>
    <w:rsid w:val="00B7789F"/>
    <w:pPr>
      <w:spacing w:before="120" w:after="120"/>
      <w:ind w:left="720"/>
      <w:contextualSpacing/>
      <w:jc w:val="both"/>
    </w:pPr>
    <w:rPr>
      <w:rFonts w:ascii="Garamond" w:eastAsia="Calibri" w:hAnsi="Garamond" w:cs="Arial"/>
      <w:sz w:val="24"/>
      <w:szCs w:val="24"/>
      <w:lang w:eastAsia="en-US"/>
    </w:rPr>
  </w:style>
  <w:style w:type="character" w:customStyle="1" w:styleId="PrrafodelistaCar">
    <w:name w:val="Párrafo de lista Car"/>
    <w:aliases w:val="Chapter Car,Viñetas - bolitas 3er nivel Car,List Paragraph21 Car,Segundo nivel de viñetas Car,titulo 3 Car,lp1 Car,Scitum normal Car,Bullet List Car,FooterText Car,List Paragraph1 Car,numbered Car,Paragraphe de liste1 Car,Foot Car"/>
    <w:link w:val="Prrafodelista"/>
    <w:uiPriority w:val="34"/>
    <w:qFormat/>
    <w:locked/>
    <w:rsid w:val="00B7789F"/>
    <w:rPr>
      <w:rFonts w:ascii="Garamond" w:eastAsia="Calibri" w:hAnsi="Garamond" w:cs="Arial"/>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895BE1C5784DE498D8E92E70886F4E5" ma:contentTypeVersion="10" ma:contentTypeDescription="Crear nuevo documento." ma:contentTypeScope="" ma:versionID="1012c4d3a74abb5754cfc358cb4eee1a">
  <xsd:schema xmlns:xsd="http://www.w3.org/2001/XMLSchema" xmlns:xs="http://www.w3.org/2001/XMLSchema" xmlns:p="http://schemas.microsoft.com/office/2006/metadata/properties" xmlns:ns3="e836ba59-670f-4337-bd6c-579e1a13d40c" xmlns:ns4="ac9ad953-fae7-4a6e-a16b-a4e92b5d59c9" targetNamespace="http://schemas.microsoft.com/office/2006/metadata/properties" ma:root="true" ma:fieldsID="46d3eac1b8a78c89793081b9524a7cbb" ns3:_="" ns4:_="">
    <xsd:import namespace="e836ba59-670f-4337-bd6c-579e1a13d40c"/>
    <xsd:import namespace="ac9ad953-fae7-4a6e-a16b-a4e92b5d59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6ba59-670f-4337-bd6c-579e1a13d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ad953-fae7-4a6e-a16b-a4e92b5d59c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98604-4DEC-43DC-8EE0-C0FAF14734D8}">
  <ds:schemaRefs>
    <ds:schemaRef ds:uri="http://schemas.microsoft.com/sharepoint/v3/contenttype/forms"/>
  </ds:schemaRefs>
</ds:datastoreItem>
</file>

<file path=customXml/itemProps2.xml><?xml version="1.0" encoding="utf-8"?>
<ds:datastoreItem xmlns:ds="http://schemas.openxmlformats.org/officeDocument/2006/customXml" ds:itemID="{660AF3BA-F06C-4BDB-90DF-B58975AA5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C0ACB-265B-4FD1-9942-27B9C0CAF3DB}">
  <ds:schemaRefs>
    <ds:schemaRef ds:uri="http://schemas.openxmlformats.org/officeDocument/2006/bibliography"/>
  </ds:schemaRefs>
</ds:datastoreItem>
</file>

<file path=customXml/itemProps4.xml><?xml version="1.0" encoding="utf-8"?>
<ds:datastoreItem xmlns:ds="http://schemas.openxmlformats.org/officeDocument/2006/customXml" ds:itemID="{8ADD34A9-2813-411E-9AF9-846973E6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6ba59-670f-4337-bd6c-579e1a13d40c"/>
    <ds:schemaRef ds:uri="ac9ad953-fae7-4a6e-a16b-a4e92b5d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Juliana Ramírez E</cp:lastModifiedBy>
  <cp:revision>4</cp:revision>
  <cp:lastPrinted>2019-07-09T00:30:00Z</cp:lastPrinted>
  <dcterms:created xsi:type="dcterms:W3CDTF">2020-12-09T17:54:00Z</dcterms:created>
  <dcterms:modified xsi:type="dcterms:W3CDTF">2020-12-10T02:25:00Z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0x0101007895BE1C5784DE498D8E92E70886F4E5</vt:lpwstr>
  </property>
</Properties>
</file>