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7D" w:rsidRPr="0066457D" w:rsidRDefault="0066457D" w:rsidP="00DB4753">
      <w:pPr>
        <w:pStyle w:val="NormalWeb"/>
        <w:spacing w:before="0" w:beforeAutospacing="0" w:after="0" w:afterAutospacing="0"/>
        <w:ind w:firstLine="708"/>
        <w:jc w:val="center"/>
        <w:rPr>
          <w:rFonts w:ascii="Arial Narrow" w:eastAsia="Batang" w:hAnsi="Arial Narrow" w:cs="Arial"/>
          <w:b/>
          <w:caps/>
          <w:lang w:eastAsia="ko-KR"/>
        </w:rPr>
      </w:pPr>
    </w:p>
    <w:p w:rsidR="00480F99" w:rsidRPr="0066457D" w:rsidRDefault="00480F99" w:rsidP="00DB4753">
      <w:pPr>
        <w:pStyle w:val="NormalWeb"/>
        <w:spacing w:before="0" w:beforeAutospacing="0" w:after="0" w:afterAutospacing="0"/>
        <w:ind w:firstLine="708"/>
        <w:jc w:val="center"/>
        <w:rPr>
          <w:rFonts w:ascii="Arial Narrow" w:eastAsia="Batang" w:hAnsi="Arial Narrow" w:cs="Arial"/>
          <w:b/>
          <w:caps/>
          <w:lang w:eastAsia="ko-KR"/>
        </w:rPr>
      </w:pPr>
    </w:p>
    <w:p w:rsidR="00916E2B" w:rsidRPr="0066457D" w:rsidRDefault="00DB4753" w:rsidP="00DB4753">
      <w:pPr>
        <w:pStyle w:val="NormalWeb"/>
        <w:spacing w:before="0" w:beforeAutospacing="0" w:after="0" w:afterAutospacing="0"/>
        <w:ind w:firstLine="708"/>
        <w:jc w:val="center"/>
        <w:rPr>
          <w:rFonts w:ascii="Arial Narrow" w:eastAsia="Batang" w:hAnsi="Arial Narrow" w:cs="Arial"/>
          <w:b/>
          <w:caps/>
          <w:lang w:eastAsia="ko-KR"/>
        </w:rPr>
      </w:pPr>
      <w:r w:rsidRPr="0066457D">
        <w:rPr>
          <w:rFonts w:ascii="Arial Narrow" w:eastAsia="Batang" w:hAnsi="Arial Narrow" w:cs="Arial"/>
          <w:b/>
          <w:caps/>
          <w:lang w:eastAsia="ko-KR"/>
        </w:rPr>
        <w:t>Proyecto de DECRETO</w:t>
      </w:r>
    </w:p>
    <w:p w:rsidR="0066457D" w:rsidRPr="0066457D" w:rsidRDefault="0066457D" w:rsidP="00DB4753">
      <w:pPr>
        <w:pStyle w:val="NormalWeb"/>
        <w:spacing w:before="0" w:beforeAutospacing="0" w:after="0" w:afterAutospacing="0"/>
        <w:ind w:firstLine="708"/>
        <w:jc w:val="center"/>
        <w:rPr>
          <w:rFonts w:ascii="Arial Narrow" w:eastAsia="Batang" w:hAnsi="Arial Narrow" w:cs="Arial"/>
          <w:b/>
          <w:caps/>
          <w:lang w:eastAsia="ko-KR"/>
        </w:rPr>
      </w:pPr>
    </w:p>
    <w:p w:rsidR="00480F99" w:rsidRPr="0066457D" w:rsidRDefault="00480F99" w:rsidP="00DB4753">
      <w:pPr>
        <w:pStyle w:val="NormalWeb"/>
        <w:spacing w:before="0" w:beforeAutospacing="0" w:after="0" w:afterAutospacing="0"/>
        <w:ind w:firstLine="708"/>
        <w:jc w:val="center"/>
        <w:rPr>
          <w:rFonts w:ascii="Arial Narrow" w:eastAsia="Batang" w:hAnsi="Arial Narrow" w:cs="Arial"/>
          <w:b/>
          <w:caps/>
          <w:lang w:eastAsia="ko-KR"/>
        </w:rPr>
      </w:pPr>
    </w:p>
    <w:p w:rsidR="00DB4753" w:rsidRPr="0066457D" w:rsidRDefault="00C46816" w:rsidP="00DB4753">
      <w:pPr>
        <w:pStyle w:val="NormalWeb"/>
        <w:spacing w:before="0" w:beforeAutospacing="0" w:after="0" w:afterAutospacing="0"/>
        <w:ind w:firstLine="708"/>
        <w:jc w:val="center"/>
        <w:rPr>
          <w:rFonts w:ascii="Arial Narrow" w:hAnsi="Arial Narrow" w:cs="Arial"/>
        </w:rPr>
      </w:pPr>
      <w:r w:rsidRPr="0066457D">
        <w:rPr>
          <w:rFonts w:ascii="Arial Narrow" w:eastAsia="Batang" w:hAnsi="Arial Narrow" w:cs="Arial"/>
          <w:b/>
          <w:caps/>
          <w:lang w:eastAsia="ko-KR"/>
        </w:rPr>
        <w:t>“</w:t>
      </w:r>
      <w:r w:rsidR="003079F5" w:rsidRPr="0066457D">
        <w:rPr>
          <w:rFonts w:ascii="Arial Narrow" w:eastAsia="Batang" w:hAnsi="Arial Narrow" w:cs="Arial"/>
          <w:b/>
          <w:caps/>
          <w:lang w:eastAsia="ko-KR"/>
        </w:rPr>
        <w:t>Por el cual se modifican los artículos 2.2.10.32.4., 2.2.10.32.5. y 2.2.10.32.6. y se adiciona el artículo 2.2.10.32.10. al Decreto 1833 de 2016 compilatorio de las normas del Sistema General de Pensiones, en relación con la financiación de las pensiones de los ex trabajadores de las extintas Telecom y Teleasociadas</w:t>
      </w:r>
      <w:r w:rsidRPr="0066457D">
        <w:rPr>
          <w:rFonts w:ascii="Arial Narrow" w:eastAsia="Batang" w:hAnsi="Arial Narrow" w:cs="Arial"/>
          <w:b/>
          <w:caps/>
          <w:lang w:eastAsia="ko-KR"/>
        </w:rPr>
        <w:t>”</w:t>
      </w:r>
    </w:p>
    <w:p w:rsidR="0066457D" w:rsidRPr="0066457D" w:rsidRDefault="0066457D" w:rsidP="00252479">
      <w:pPr>
        <w:jc w:val="both"/>
        <w:rPr>
          <w:rFonts w:ascii="Arial Narrow" w:hAnsi="Arial Narrow" w:cs="Arial"/>
          <w:b/>
          <w:color w:val="000000"/>
        </w:rPr>
      </w:pPr>
    </w:p>
    <w:p w:rsidR="0066457D" w:rsidRPr="0066457D" w:rsidRDefault="0066457D" w:rsidP="00252479">
      <w:pPr>
        <w:jc w:val="both"/>
        <w:rPr>
          <w:rFonts w:ascii="Arial Narrow" w:hAnsi="Arial Narrow" w:cs="Arial"/>
          <w:b/>
          <w:color w:val="000000"/>
        </w:rPr>
      </w:pPr>
    </w:p>
    <w:p w:rsidR="00C46816" w:rsidRPr="0066457D" w:rsidRDefault="00C46816" w:rsidP="00C46816">
      <w:pPr>
        <w:jc w:val="center"/>
        <w:rPr>
          <w:rFonts w:ascii="Arial Narrow" w:hAnsi="Arial Narrow" w:cs="Arial"/>
          <w:b/>
        </w:rPr>
      </w:pPr>
      <w:r w:rsidRPr="0066457D">
        <w:rPr>
          <w:rFonts w:ascii="Arial Narrow" w:hAnsi="Arial Narrow" w:cs="Arial"/>
          <w:b/>
        </w:rPr>
        <w:t xml:space="preserve">Bogotá D.C., </w:t>
      </w:r>
      <w:r w:rsidR="003079F5" w:rsidRPr="0066457D">
        <w:rPr>
          <w:rFonts w:ascii="Arial Narrow" w:hAnsi="Arial Narrow" w:cs="Arial"/>
          <w:b/>
        </w:rPr>
        <w:t>Octubre</w:t>
      </w:r>
      <w:r w:rsidRPr="0066457D">
        <w:rPr>
          <w:rFonts w:ascii="Arial Narrow" w:hAnsi="Arial Narrow" w:cs="Arial"/>
          <w:b/>
        </w:rPr>
        <w:t xml:space="preserve"> de </w:t>
      </w:r>
      <w:r w:rsidR="003079F5" w:rsidRPr="0066457D">
        <w:rPr>
          <w:rFonts w:ascii="Arial Narrow" w:hAnsi="Arial Narrow" w:cs="Arial"/>
          <w:b/>
        </w:rPr>
        <w:t>2017</w:t>
      </w:r>
    </w:p>
    <w:p w:rsidR="0066457D" w:rsidRPr="0066457D" w:rsidRDefault="0066457D" w:rsidP="00C46816">
      <w:pPr>
        <w:jc w:val="center"/>
        <w:rPr>
          <w:rFonts w:ascii="Arial Narrow" w:hAnsi="Arial Narrow" w:cs="Arial"/>
          <w:b/>
        </w:rPr>
      </w:pPr>
    </w:p>
    <w:p w:rsidR="0066457D" w:rsidRPr="0066457D" w:rsidRDefault="0066457D" w:rsidP="00C46816">
      <w:pPr>
        <w:jc w:val="center"/>
        <w:rPr>
          <w:rFonts w:ascii="Arial Narrow" w:hAnsi="Arial Narrow" w:cs="Arial"/>
          <w:b/>
        </w:rPr>
      </w:pPr>
    </w:p>
    <w:p w:rsidR="00C46816" w:rsidRPr="0066457D" w:rsidRDefault="00C46816" w:rsidP="00C46816">
      <w:pPr>
        <w:jc w:val="center"/>
        <w:rPr>
          <w:rFonts w:ascii="Arial Narrow" w:hAnsi="Arial Narrow" w:cs="Arial"/>
          <w:b/>
        </w:rPr>
      </w:pPr>
    </w:p>
    <w:p w:rsidR="00C46816" w:rsidRPr="0066457D" w:rsidRDefault="00C46816" w:rsidP="00C46816">
      <w:pPr>
        <w:jc w:val="both"/>
        <w:rPr>
          <w:rFonts w:ascii="Arial Narrow" w:hAnsi="Arial Narrow" w:cs="Arial"/>
          <w:b/>
        </w:rPr>
      </w:pPr>
    </w:p>
    <w:p w:rsidR="00584CD6" w:rsidRPr="0066457D" w:rsidRDefault="00584CD6" w:rsidP="00584CD6">
      <w:pPr>
        <w:ind w:left="705" w:hanging="705"/>
        <w:rPr>
          <w:rFonts w:ascii="Arial Narrow" w:hAnsi="Arial Narrow" w:cs="Arial"/>
          <w:b/>
          <w:lang w:val="es-ES_tradnl"/>
        </w:rPr>
      </w:pPr>
      <w:r w:rsidRPr="0066457D">
        <w:rPr>
          <w:rFonts w:ascii="Arial Narrow" w:hAnsi="Arial Narrow" w:cs="Arial"/>
          <w:b/>
          <w:lang w:val="es-ES_tradnl"/>
        </w:rPr>
        <w:t>1.</w:t>
      </w:r>
      <w:r w:rsidRPr="0066457D">
        <w:rPr>
          <w:rFonts w:ascii="Arial Narrow" w:hAnsi="Arial Narrow" w:cs="Arial"/>
          <w:b/>
          <w:lang w:val="es-ES_tradnl"/>
        </w:rPr>
        <w:tab/>
        <w:t>Antecedentes y las razones de oportunidad y conveniencia que justifican la expedición de la norma</w:t>
      </w:r>
    </w:p>
    <w:p w:rsidR="00584CD6" w:rsidRPr="0066457D" w:rsidRDefault="00584CD6" w:rsidP="00584CD6">
      <w:pPr>
        <w:jc w:val="both"/>
        <w:rPr>
          <w:rFonts w:ascii="Arial Narrow" w:hAnsi="Arial Narrow" w:cs="Arial"/>
          <w:lang w:val="es-ES_tradnl"/>
        </w:rPr>
      </w:pPr>
    </w:p>
    <w:p w:rsidR="003079F5" w:rsidRPr="0066457D" w:rsidRDefault="003079F5" w:rsidP="003079F5">
      <w:pPr>
        <w:jc w:val="both"/>
        <w:rPr>
          <w:rFonts w:ascii="Arial Narrow" w:hAnsi="Arial Narrow" w:cs="Arial"/>
          <w:lang w:val="es-ES_tradnl"/>
        </w:rPr>
      </w:pPr>
      <w:r w:rsidRPr="0066457D">
        <w:rPr>
          <w:rFonts w:ascii="Arial Narrow" w:hAnsi="Arial Narrow" w:cs="Arial"/>
          <w:lang w:val="es-ES_tradnl"/>
        </w:rPr>
        <w:t>El Gobierno Nacional ordenó la supresión y liquidación de las empresas de Telecomunicaciones Telecalarcá, Telenariño, Telecartagena, Telearmenia, Teletolima, Telehuila, Telecom y Telesantamarta</w:t>
      </w:r>
      <w:r w:rsidR="00587986" w:rsidRPr="0066457D">
        <w:rPr>
          <w:rFonts w:ascii="Arial Narrow" w:hAnsi="Arial Narrow" w:cs="Arial"/>
          <w:lang w:val="es-ES_tradnl"/>
        </w:rPr>
        <w:t xml:space="preserve">, </w:t>
      </w:r>
      <w:r w:rsidRPr="0066457D">
        <w:rPr>
          <w:rFonts w:ascii="Arial Narrow" w:hAnsi="Arial Narrow" w:cs="Arial"/>
          <w:lang w:val="es-ES_tradnl"/>
        </w:rPr>
        <w:t xml:space="preserve">mediante los </w:t>
      </w:r>
      <w:r w:rsidR="00587986" w:rsidRPr="0066457D">
        <w:rPr>
          <w:rFonts w:ascii="Arial Narrow" w:hAnsi="Arial Narrow" w:cs="Arial"/>
          <w:lang w:val="es-ES_tradnl"/>
        </w:rPr>
        <w:t>d</w:t>
      </w:r>
      <w:r w:rsidRPr="0066457D">
        <w:rPr>
          <w:rFonts w:ascii="Arial Narrow" w:hAnsi="Arial Narrow" w:cs="Arial"/>
          <w:lang w:val="es-ES_tradnl"/>
        </w:rPr>
        <w:t>ecretos 1605 , 1607, 1609, 1611, 1612, 1614 y 1615 de 2003, y 1773 de 2004, respectivamente.</w:t>
      </w:r>
    </w:p>
    <w:p w:rsidR="003079F5" w:rsidRPr="0066457D" w:rsidRDefault="003079F5" w:rsidP="003079F5">
      <w:pPr>
        <w:jc w:val="both"/>
        <w:rPr>
          <w:rFonts w:ascii="Arial Narrow" w:hAnsi="Arial Narrow" w:cs="Arial"/>
          <w:lang w:val="es-ES_tradnl"/>
        </w:rPr>
      </w:pPr>
    </w:p>
    <w:p w:rsidR="003079F5" w:rsidRPr="0066457D" w:rsidRDefault="00587986" w:rsidP="003079F5">
      <w:pPr>
        <w:jc w:val="both"/>
        <w:rPr>
          <w:rFonts w:ascii="Arial Narrow" w:hAnsi="Arial Narrow" w:cs="Arial"/>
          <w:lang w:val="es-ES_tradnl"/>
        </w:rPr>
      </w:pPr>
      <w:r w:rsidRPr="0066457D">
        <w:rPr>
          <w:rFonts w:ascii="Arial Narrow" w:hAnsi="Arial Narrow" w:cs="Arial"/>
          <w:lang w:val="es-ES_tradnl"/>
        </w:rPr>
        <w:t xml:space="preserve">La Unidad Administrativa Especial de Gestión Pensional y Contribuciones Parafiscales de la Protección Social  - UGPP, tiene como función reconocer y administrar los derechos pensionales y prestaciones económicas a cargo de las administradoras exclusivas de servidores públicos del Régimen de Prima Media con Prestación Definida de entidades públicas del orden nacional que hayan tenido a su cargo el reconocimiento de pensiones, cuando se haya decretado o se decrete su liquidación o el cese de actividades de quien esté desarrollando estas funciones, según </w:t>
      </w:r>
      <w:r w:rsidR="003079F5" w:rsidRPr="0066457D">
        <w:rPr>
          <w:rFonts w:ascii="Arial Narrow" w:hAnsi="Arial Narrow" w:cs="Arial"/>
          <w:lang w:val="es-ES_tradnl"/>
        </w:rPr>
        <w:t>el numeral i) del artículo 156 de la Ley 1151 de 2007, vigente en virtud de los artículos 276 de la Ley 1450 de 2011 y 267 de la Ley 1753 de 2015, y según lo ordenado por los artículos 1 y 2 del Decreto Ley 169 de 2008 y en el artículo 2 del Decreto 575 de 2013</w:t>
      </w:r>
      <w:r w:rsidR="006F1D50" w:rsidRPr="0066457D">
        <w:rPr>
          <w:rFonts w:ascii="Arial Narrow" w:hAnsi="Arial Narrow" w:cs="Arial"/>
          <w:lang w:val="es-ES_tradnl"/>
        </w:rPr>
        <w:t>.</w:t>
      </w:r>
      <w:r w:rsidR="003079F5" w:rsidRPr="0066457D">
        <w:rPr>
          <w:rFonts w:ascii="Arial Narrow" w:hAnsi="Arial Narrow" w:cs="Arial"/>
          <w:lang w:val="es-ES_tradnl"/>
        </w:rPr>
        <w:t xml:space="preserve"> </w:t>
      </w:r>
    </w:p>
    <w:p w:rsidR="003079F5" w:rsidRPr="0066457D" w:rsidRDefault="003079F5" w:rsidP="003079F5">
      <w:pPr>
        <w:jc w:val="both"/>
        <w:rPr>
          <w:rFonts w:ascii="Arial Narrow" w:hAnsi="Arial Narrow" w:cs="Arial"/>
          <w:lang w:val="es-ES_tradnl"/>
        </w:rPr>
      </w:pPr>
    </w:p>
    <w:p w:rsidR="003079F5" w:rsidRPr="0066457D" w:rsidRDefault="00C119D0" w:rsidP="003079F5">
      <w:pPr>
        <w:jc w:val="both"/>
        <w:rPr>
          <w:rFonts w:ascii="Arial Narrow" w:hAnsi="Arial Narrow" w:cs="Arial"/>
          <w:lang w:val="es-ES_tradnl"/>
        </w:rPr>
      </w:pPr>
      <w:r w:rsidRPr="0066457D">
        <w:rPr>
          <w:rFonts w:ascii="Arial Narrow" w:hAnsi="Arial Narrow" w:cs="Arial"/>
          <w:lang w:val="es-ES_tradnl"/>
        </w:rPr>
        <w:t>Así como e</w:t>
      </w:r>
      <w:r w:rsidR="0066457D" w:rsidRPr="0066457D">
        <w:rPr>
          <w:rFonts w:ascii="Arial Narrow" w:hAnsi="Arial Narrow" w:cs="Arial"/>
          <w:lang w:val="es-ES_tradnl"/>
        </w:rPr>
        <w:t>l artículo 1</w:t>
      </w:r>
      <w:r w:rsidR="003079F5" w:rsidRPr="0066457D">
        <w:rPr>
          <w:rFonts w:ascii="Arial Narrow" w:hAnsi="Arial Narrow" w:cs="Arial"/>
          <w:lang w:val="es-ES_tradnl"/>
        </w:rPr>
        <w:t xml:space="preserve"> del Decreto 1389 de 2013, modificatorio del artículo 4 del Decreto  2011 de 2012, determinó que las nóminas de pensionados de Telecom, Teletolima, Telehuila</w:t>
      </w:r>
      <w:r w:rsidR="006F25FC" w:rsidRPr="0066457D">
        <w:rPr>
          <w:rFonts w:ascii="Arial Narrow" w:hAnsi="Arial Narrow" w:cs="Arial"/>
          <w:lang w:val="es-ES_tradnl"/>
        </w:rPr>
        <w:t xml:space="preserve">, </w:t>
      </w:r>
      <w:r w:rsidR="003079F5" w:rsidRPr="0066457D">
        <w:rPr>
          <w:rFonts w:ascii="Arial Narrow" w:hAnsi="Arial Narrow" w:cs="Arial"/>
          <w:lang w:val="es-ES_tradnl"/>
        </w:rPr>
        <w:t>Telenariño</w:t>
      </w:r>
      <w:r w:rsidR="006F25FC" w:rsidRPr="0066457D">
        <w:rPr>
          <w:rFonts w:ascii="Arial Narrow" w:hAnsi="Arial Narrow" w:cs="Arial"/>
          <w:lang w:val="es-ES_tradnl"/>
        </w:rPr>
        <w:t xml:space="preserve">, </w:t>
      </w:r>
      <w:r w:rsidR="003079F5" w:rsidRPr="0066457D">
        <w:rPr>
          <w:rFonts w:ascii="Arial Narrow" w:hAnsi="Arial Narrow" w:cs="Arial"/>
          <w:lang w:val="es-ES_tradnl"/>
        </w:rPr>
        <w:t>Telecartagena, Telesantamarta, Telearmenia, Telecalarca y Caprecom en calidad de empleador, que actualmente son administradas y pagadas por la Administradora del Régimen de Prima Media -Caja de Previsión Social, de Comunicaciones Caprecom, pasarían a la UGPP y el pago de las obligaciones las pensionales de estas entidades se haría a través del Fondo de Pensiones Públicas del Nivel Nacional (Fopep).</w:t>
      </w:r>
    </w:p>
    <w:p w:rsidR="003079F5" w:rsidRPr="0066457D" w:rsidRDefault="003079F5" w:rsidP="003079F5">
      <w:pPr>
        <w:jc w:val="both"/>
        <w:rPr>
          <w:rFonts w:ascii="Arial Narrow" w:hAnsi="Arial Narrow" w:cs="Arial"/>
          <w:lang w:val="es-ES_tradnl"/>
        </w:rPr>
      </w:pPr>
    </w:p>
    <w:p w:rsidR="003079F5" w:rsidRPr="0066457D" w:rsidRDefault="006F25FC" w:rsidP="003079F5">
      <w:pPr>
        <w:jc w:val="both"/>
        <w:rPr>
          <w:rFonts w:ascii="Arial Narrow" w:hAnsi="Arial Narrow" w:cs="Arial"/>
          <w:lang w:val="es-ES_tradnl"/>
        </w:rPr>
      </w:pPr>
      <w:r w:rsidRPr="0066457D">
        <w:rPr>
          <w:rFonts w:ascii="Arial Narrow" w:hAnsi="Arial Narrow" w:cs="Arial"/>
          <w:lang w:val="es-ES_tradnl"/>
        </w:rPr>
        <w:lastRenderedPageBreak/>
        <w:t xml:space="preserve">También </w:t>
      </w:r>
      <w:r w:rsidR="0066457D" w:rsidRPr="0066457D">
        <w:rPr>
          <w:rFonts w:ascii="Arial Narrow" w:hAnsi="Arial Narrow" w:cs="Arial"/>
          <w:lang w:val="es-ES_tradnl"/>
        </w:rPr>
        <w:t>el artículo 2</w:t>
      </w:r>
      <w:r w:rsidR="003079F5" w:rsidRPr="0066457D">
        <w:rPr>
          <w:rFonts w:ascii="Arial Narrow" w:hAnsi="Arial Narrow" w:cs="Arial"/>
          <w:lang w:val="es-ES_tradnl"/>
        </w:rPr>
        <w:t xml:space="preserve"> del Decreto 2408 de 2014 ordenó a Caprecom</w:t>
      </w:r>
      <w:r w:rsidRPr="0066457D">
        <w:rPr>
          <w:rFonts w:ascii="Arial Narrow" w:hAnsi="Arial Narrow" w:cs="Arial"/>
          <w:lang w:val="es-ES_tradnl"/>
        </w:rPr>
        <w:t xml:space="preserve"> </w:t>
      </w:r>
      <w:r w:rsidR="003079F5" w:rsidRPr="0066457D">
        <w:rPr>
          <w:rFonts w:ascii="Arial Narrow" w:hAnsi="Arial Narrow" w:cs="Arial"/>
          <w:lang w:val="es-ES_tradnl"/>
        </w:rPr>
        <w:t>trasladar las reservas de vejez, invalidez y sobrevivencia del Fondo Común de Naturaleza Pública -</w:t>
      </w:r>
      <w:r w:rsidR="00BA1758" w:rsidRPr="0066457D">
        <w:rPr>
          <w:rFonts w:ascii="Arial Narrow" w:hAnsi="Arial Narrow" w:cs="Arial"/>
          <w:lang w:val="es-ES_tradnl"/>
        </w:rPr>
        <w:t xml:space="preserve"> </w:t>
      </w:r>
      <w:r w:rsidR="003079F5" w:rsidRPr="0066457D">
        <w:rPr>
          <w:rFonts w:ascii="Arial Narrow" w:hAnsi="Arial Narrow" w:cs="Arial"/>
          <w:lang w:val="es-ES_tradnl"/>
        </w:rPr>
        <w:t>Foncap, correspondientes a las entidades cuya función pensional sea asumida por la UGPP, a la Dirección General de Crédito Público y del Tesoro Nacional del Ministerio de Hacienda y Crédito Público.</w:t>
      </w:r>
    </w:p>
    <w:p w:rsidR="003079F5" w:rsidRPr="0066457D" w:rsidRDefault="003079F5" w:rsidP="003079F5">
      <w:pPr>
        <w:jc w:val="both"/>
        <w:rPr>
          <w:rFonts w:ascii="Arial Narrow" w:hAnsi="Arial Narrow" w:cs="Arial"/>
          <w:lang w:val="es-ES_tradnl"/>
        </w:rPr>
      </w:pPr>
    </w:p>
    <w:p w:rsidR="003079F5" w:rsidRPr="0066457D" w:rsidRDefault="004D188F" w:rsidP="003079F5">
      <w:pPr>
        <w:jc w:val="both"/>
        <w:rPr>
          <w:rFonts w:ascii="Arial Narrow" w:hAnsi="Arial Narrow" w:cs="Arial"/>
          <w:lang w:val="es-ES_tradnl"/>
        </w:rPr>
      </w:pPr>
      <w:r w:rsidRPr="0066457D">
        <w:rPr>
          <w:rFonts w:ascii="Arial Narrow" w:hAnsi="Arial Narrow" w:cs="Arial"/>
          <w:lang w:val="es-ES_tradnl"/>
        </w:rPr>
        <w:t xml:space="preserve">Al igual que temas como cuotas partes pensionales, bonos pensionales y aportes pensionales entre otros, son reglamentados en los </w:t>
      </w:r>
      <w:r w:rsidR="003079F5" w:rsidRPr="0066457D">
        <w:rPr>
          <w:rFonts w:ascii="Arial Narrow" w:hAnsi="Arial Narrow" w:cs="Arial"/>
          <w:lang w:val="es-ES_tradnl"/>
        </w:rPr>
        <w:t xml:space="preserve">artículos 2.2.10.32.4, 2.2.10.32.5 y 2.2.10.32.6 del </w:t>
      </w:r>
      <w:r w:rsidRPr="0066457D">
        <w:rPr>
          <w:rFonts w:ascii="Arial Narrow" w:hAnsi="Arial Narrow" w:cs="Arial"/>
          <w:lang w:val="es-ES_tradnl"/>
        </w:rPr>
        <w:t>D</w:t>
      </w:r>
      <w:r w:rsidR="003079F5" w:rsidRPr="0066457D">
        <w:rPr>
          <w:rFonts w:ascii="Arial Narrow" w:hAnsi="Arial Narrow" w:cs="Arial"/>
          <w:lang w:val="es-ES_tradnl"/>
        </w:rPr>
        <w:t xml:space="preserve">ecreto 1833 de 2016 </w:t>
      </w:r>
      <w:r w:rsidRPr="0066457D">
        <w:rPr>
          <w:rFonts w:ascii="Arial Narrow" w:hAnsi="Arial Narrow" w:cs="Arial"/>
          <w:lang w:val="es-ES_tradnl"/>
        </w:rPr>
        <w:t xml:space="preserve">los cuales </w:t>
      </w:r>
      <w:r w:rsidR="003079F5" w:rsidRPr="0066457D">
        <w:rPr>
          <w:rFonts w:ascii="Arial Narrow" w:hAnsi="Arial Narrow" w:cs="Arial"/>
          <w:lang w:val="es-ES_tradnl"/>
        </w:rPr>
        <w:t>establecen las reglas para la financiación del pasivo y la función pensional de las Teleasociadas y de Telecom.</w:t>
      </w:r>
    </w:p>
    <w:p w:rsidR="003079F5" w:rsidRPr="0066457D" w:rsidRDefault="003079F5" w:rsidP="003079F5">
      <w:pPr>
        <w:jc w:val="both"/>
        <w:rPr>
          <w:rFonts w:ascii="Arial Narrow" w:hAnsi="Arial Narrow" w:cs="Arial"/>
          <w:lang w:val="es-ES_tradnl"/>
        </w:rPr>
      </w:pPr>
    </w:p>
    <w:p w:rsidR="00584CD6" w:rsidRPr="0066457D" w:rsidRDefault="00F65CCB" w:rsidP="003079F5">
      <w:pPr>
        <w:jc w:val="both"/>
        <w:rPr>
          <w:rFonts w:ascii="Arial Narrow" w:hAnsi="Arial Narrow" w:cs="Arial"/>
          <w:lang w:val="es-ES_tradnl"/>
        </w:rPr>
      </w:pPr>
      <w:r w:rsidRPr="0066457D">
        <w:rPr>
          <w:rFonts w:ascii="Arial Narrow" w:hAnsi="Arial Narrow" w:cs="Arial"/>
          <w:lang w:val="es-ES_tradnl"/>
        </w:rPr>
        <w:t>Y d</w:t>
      </w:r>
      <w:r w:rsidR="004D188F" w:rsidRPr="0066457D">
        <w:rPr>
          <w:rFonts w:ascii="Arial Narrow" w:hAnsi="Arial Narrow" w:cs="Arial"/>
          <w:lang w:val="es-ES_tradnl"/>
        </w:rPr>
        <w:t xml:space="preserve">ado </w:t>
      </w:r>
      <w:r w:rsidR="003079F5" w:rsidRPr="0066457D">
        <w:rPr>
          <w:rFonts w:ascii="Arial Narrow" w:hAnsi="Arial Narrow" w:cs="Arial"/>
          <w:lang w:val="es-ES_tradnl"/>
        </w:rPr>
        <w:t xml:space="preserve">el artículo 24 de la Ley 1837 de 2017, </w:t>
      </w:r>
      <w:r w:rsidRPr="0066457D">
        <w:rPr>
          <w:rFonts w:ascii="Arial Narrow" w:hAnsi="Arial Narrow" w:cs="Arial"/>
          <w:lang w:val="es-ES_tradnl"/>
        </w:rPr>
        <w:t xml:space="preserve">que transfiere al Ministerio de Hacienda y Crédito Público </w:t>
      </w:r>
      <w:r w:rsidR="003F7C31" w:rsidRPr="0066457D">
        <w:rPr>
          <w:rFonts w:ascii="Arial Narrow" w:hAnsi="Arial Narrow" w:cs="Arial"/>
          <w:lang w:val="es-ES_tradnl"/>
        </w:rPr>
        <w:t>l</w:t>
      </w:r>
      <w:r w:rsidR="00B02F5A" w:rsidRPr="0066457D">
        <w:rPr>
          <w:rFonts w:ascii="Arial Narrow" w:hAnsi="Arial Narrow" w:cs="Arial"/>
          <w:lang w:val="es-ES_tradnl"/>
        </w:rPr>
        <w:t xml:space="preserve">as obligaciones de pago </w:t>
      </w:r>
      <w:r w:rsidRPr="0066457D">
        <w:rPr>
          <w:rFonts w:ascii="Arial Narrow" w:hAnsi="Arial Narrow" w:cs="Arial"/>
          <w:lang w:val="es-ES_tradnl"/>
        </w:rPr>
        <w:t>de Telecom y las Teleasociadas</w:t>
      </w:r>
      <w:r w:rsidR="00B02F5A" w:rsidRPr="0066457D">
        <w:rPr>
          <w:rFonts w:ascii="Arial Narrow" w:hAnsi="Arial Narrow" w:cs="Arial"/>
          <w:lang w:val="es-ES_tradnl"/>
        </w:rPr>
        <w:t xml:space="preserve"> a través del Fopep</w:t>
      </w:r>
      <w:r w:rsidR="00F8743E" w:rsidRPr="0066457D">
        <w:rPr>
          <w:rFonts w:ascii="Arial Narrow" w:hAnsi="Arial Narrow" w:cs="Arial"/>
          <w:lang w:val="es-ES_tradnl"/>
        </w:rPr>
        <w:t xml:space="preserve">, </w:t>
      </w:r>
      <w:r w:rsidR="003079F5" w:rsidRPr="0066457D">
        <w:rPr>
          <w:rFonts w:ascii="Arial Narrow" w:hAnsi="Arial Narrow" w:cs="Arial"/>
          <w:lang w:val="es-ES_tradnl"/>
        </w:rPr>
        <w:t xml:space="preserve">se hace necesario reasignar las funciones relacionadas con el cobro y pago de las cuotas partes pensionales, los bonos pensionales y el pago de los aportes pensionales con destino a las administradoras correspondientes, en relación </w:t>
      </w:r>
      <w:r w:rsidR="00F8743E" w:rsidRPr="0066457D">
        <w:rPr>
          <w:rFonts w:ascii="Arial Narrow" w:hAnsi="Arial Narrow" w:cs="Arial"/>
          <w:lang w:val="es-ES_tradnl"/>
        </w:rPr>
        <w:t>a estas entidades ya liquidadas.</w:t>
      </w:r>
      <w:r w:rsidR="00584CD6" w:rsidRPr="0066457D">
        <w:rPr>
          <w:rFonts w:ascii="Arial Narrow" w:hAnsi="Arial Narrow" w:cs="Arial"/>
          <w:lang w:val="es-ES_tradnl"/>
        </w:rPr>
        <w:t xml:space="preserve"> </w:t>
      </w:r>
    </w:p>
    <w:p w:rsidR="00054784" w:rsidRPr="0066457D" w:rsidRDefault="00054784" w:rsidP="00584CD6">
      <w:pPr>
        <w:jc w:val="both"/>
        <w:rPr>
          <w:rFonts w:ascii="Arial Narrow" w:hAnsi="Arial Narrow" w:cs="Arial"/>
          <w:lang w:val="es-ES_tradnl"/>
        </w:rPr>
      </w:pPr>
    </w:p>
    <w:p w:rsidR="00584CD6" w:rsidRPr="0066457D" w:rsidRDefault="00584CD6" w:rsidP="00584CD6">
      <w:pPr>
        <w:jc w:val="both"/>
        <w:rPr>
          <w:rFonts w:ascii="Arial Narrow" w:hAnsi="Arial Narrow" w:cs="Arial"/>
          <w:b/>
          <w:lang w:val="es-ES_tradnl"/>
        </w:rPr>
      </w:pPr>
      <w:r w:rsidRPr="0066457D">
        <w:rPr>
          <w:rFonts w:ascii="Arial Narrow" w:hAnsi="Arial Narrow" w:cs="Arial"/>
          <w:b/>
          <w:lang w:val="es-ES_tradnl"/>
        </w:rPr>
        <w:t>2.</w:t>
      </w:r>
      <w:r w:rsidRPr="0066457D">
        <w:rPr>
          <w:rFonts w:ascii="Arial Narrow" w:hAnsi="Arial Narrow" w:cs="Arial"/>
          <w:b/>
          <w:lang w:val="es-ES_tradnl"/>
        </w:rPr>
        <w:tab/>
        <w:t>Ámbito de aplicación del acto administrativo</w:t>
      </w:r>
    </w:p>
    <w:p w:rsidR="00584CD6" w:rsidRPr="0066457D" w:rsidRDefault="00584CD6" w:rsidP="00584CD6">
      <w:pPr>
        <w:jc w:val="both"/>
        <w:rPr>
          <w:rFonts w:ascii="Arial Narrow" w:hAnsi="Arial Narrow" w:cs="Arial"/>
          <w:lang w:val="es-ES_tradnl"/>
        </w:rPr>
      </w:pPr>
    </w:p>
    <w:p w:rsidR="00F8743E" w:rsidRPr="0066457D" w:rsidRDefault="00F8743E" w:rsidP="00F8743E">
      <w:pPr>
        <w:jc w:val="both"/>
        <w:rPr>
          <w:rFonts w:ascii="Arial Narrow" w:hAnsi="Arial Narrow" w:cs="Arial"/>
          <w:lang w:val="es-ES_tradnl"/>
        </w:rPr>
      </w:pPr>
      <w:r w:rsidRPr="0066457D">
        <w:rPr>
          <w:rFonts w:ascii="Arial Narrow" w:hAnsi="Arial Narrow" w:cs="Arial"/>
          <w:lang w:val="es-ES_tradnl"/>
        </w:rPr>
        <w:t xml:space="preserve">La norma aplica al Patrimonio Autónomo </w:t>
      </w:r>
      <w:r w:rsidRPr="0066457D">
        <w:rPr>
          <w:rFonts w:ascii="Arial Narrow" w:hAnsi="Arial Narrow" w:cs="Arial"/>
          <w:lang w:val="es-ES_tradnl"/>
        </w:rPr>
        <w:t>de Remanentes d</w:t>
      </w:r>
      <w:r w:rsidRPr="0066457D">
        <w:rPr>
          <w:rFonts w:ascii="Arial Narrow" w:hAnsi="Arial Narrow" w:cs="Arial"/>
          <w:lang w:val="es-ES_tradnl"/>
        </w:rPr>
        <w:t>e Telecom (PA</w:t>
      </w:r>
      <w:r w:rsidRPr="0066457D">
        <w:rPr>
          <w:rFonts w:ascii="Arial Narrow" w:hAnsi="Arial Narrow" w:cs="Arial"/>
          <w:lang w:val="es-ES_tradnl"/>
        </w:rPr>
        <w:t>R</w:t>
      </w:r>
      <w:r w:rsidRPr="0066457D">
        <w:rPr>
          <w:rFonts w:ascii="Arial Narrow" w:hAnsi="Arial Narrow" w:cs="Arial"/>
          <w:lang w:val="es-ES_tradnl"/>
        </w:rPr>
        <w:t xml:space="preserve">), Ministerio de Hacienda y Crédito Público, Ministerio de Tecnologías de la Información y las Comunicaciones, FOPEP y UGPP. </w:t>
      </w:r>
    </w:p>
    <w:p w:rsidR="00F8743E" w:rsidRPr="0066457D" w:rsidRDefault="00F8743E" w:rsidP="00F8743E">
      <w:pPr>
        <w:jc w:val="both"/>
        <w:rPr>
          <w:rFonts w:ascii="Arial Narrow" w:hAnsi="Arial Narrow" w:cs="Arial"/>
          <w:lang w:val="es-ES_tradnl"/>
        </w:rPr>
      </w:pPr>
    </w:p>
    <w:p w:rsidR="00584CD6" w:rsidRPr="0066457D" w:rsidRDefault="00BD0294" w:rsidP="00F8743E">
      <w:pPr>
        <w:jc w:val="both"/>
        <w:rPr>
          <w:rFonts w:ascii="Arial Narrow" w:hAnsi="Arial Narrow" w:cs="Arial"/>
          <w:lang w:val="es-ES_tradnl"/>
        </w:rPr>
      </w:pPr>
      <w:r w:rsidRPr="0066457D">
        <w:rPr>
          <w:rFonts w:ascii="Arial Narrow" w:hAnsi="Arial Narrow" w:cs="Arial"/>
          <w:lang w:val="es-ES_tradnl"/>
        </w:rPr>
        <w:t xml:space="preserve">Reasigna las funciones relacionadas con el cobro y pago de las cuotas partes pensionales, los bonos pensionales y el pago de los aportes pensionales con destino a las administradoras correspondientes, </w:t>
      </w:r>
      <w:r w:rsidR="00F8743E" w:rsidRPr="0066457D">
        <w:rPr>
          <w:rFonts w:ascii="Arial Narrow" w:hAnsi="Arial Narrow" w:cs="Arial"/>
          <w:lang w:val="es-ES_tradnl"/>
        </w:rPr>
        <w:t>de los ex trabajadores de Telecom y las Teleasociadas.</w:t>
      </w:r>
    </w:p>
    <w:p w:rsidR="00054784" w:rsidRPr="0066457D" w:rsidRDefault="00054784" w:rsidP="00584CD6">
      <w:pPr>
        <w:jc w:val="both"/>
        <w:rPr>
          <w:rFonts w:ascii="Arial Narrow" w:hAnsi="Arial Narrow" w:cs="Arial"/>
          <w:lang w:val="es-ES_tradnl"/>
        </w:rPr>
      </w:pPr>
    </w:p>
    <w:p w:rsidR="00584CD6" w:rsidRPr="0066457D" w:rsidRDefault="00584CD6" w:rsidP="00584CD6">
      <w:pPr>
        <w:jc w:val="both"/>
        <w:rPr>
          <w:rFonts w:ascii="Arial Narrow" w:hAnsi="Arial Narrow" w:cs="Arial"/>
          <w:b/>
          <w:lang w:val="es-ES_tradnl"/>
        </w:rPr>
      </w:pPr>
      <w:r w:rsidRPr="0066457D">
        <w:rPr>
          <w:rFonts w:ascii="Arial Narrow" w:hAnsi="Arial Narrow" w:cs="Arial"/>
          <w:b/>
          <w:lang w:val="es-ES_tradnl"/>
        </w:rPr>
        <w:t>3.</w:t>
      </w:r>
      <w:r w:rsidRPr="0066457D">
        <w:rPr>
          <w:rFonts w:ascii="Arial Narrow" w:hAnsi="Arial Narrow" w:cs="Arial"/>
          <w:b/>
          <w:lang w:val="es-ES_tradnl"/>
        </w:rPr>
        <w:tab/>
        <w:t xml:space="preserve">Estudio preliminar de viabilidad jurídica de la expedición de la norma </w:t>
      </w:r>
    </w:p>
    <w:p w:rsidR="00584CD6" w:rsidRPr="0066457D" w:rsidRDefault="00584CD6" w:rsidP="00584CD6">
      <w:pPr>
        <w:jc w:val="both"/>
        <w:rPr>
          <w:rFonts w:ascii="Arial Narrow" w:hAnsi="Arial Narrow" w:cs="Arial"/>
          <w:lang w:val="es-ES_tradnl"/>
        </w:rPr>
      </w:pPr>
    </w:p>
    <w:p w:rsidR="00584CD6" w:rsidRPr="0066457D" w:rsidRDefault="00584CD6" w:rsidP="00584CD6">
      <w:pPr>
        <w:widowControl w:val="0"/>
        <w:autoSpaceDE w:val="0"/>
        <w:autoSpaceDN w:val="0"/>
        <w:adjustRightInd w:val="0"/>
        <w:ind w:left="705" w:hanging="705"/>
        <w:contextualSpacing/>
        <w:jc w:val="both"/>
        <w:rPr>
          <w:rFonts w:ascii="Arial Narrow" w:hAnsi="Arial Narrow" w:cs="Arial"/>
        </w:rPr>
      </w:pPr>
      <w:r w:rsidRPr="0066457D">
        <w:rPr>
          <w:rFonts w:ascii="Arial Narrow" w:hAnsi="Arial Narrow" w:cs="Arial"/>
          <w:b/>
        </w:rPr>
        <w:t>3.1.</w:t>
      </w:r>
      <w:r w:rsidRPr="0066457D">
        <w:rPr>
          <w:rFonts w:ascii="Arial Narrow" w:hAnsi="Arial Narrow" w:cs="Arial"/>
          <w:b/>
        </w:rPr>
        <w:tab/>
      </w:r>
      <w:r w:rsidRPr="0066457D">
        <w:rPr>
          <w:rFonts w:ascii="Arial Narrow" w:hAnsi="Arial Narrow" w:cs="Arial"/>
        </w:rPr>
        <w:t xml:space="preserve">Análisis expreso y detallado de las normas que otorgan competencia para la expedición del </w:t>
      </w:r>
      <w:r w:rsidRPr="0066457D">
        <w:rPr>
          <w:rFonts w:ascii="Arial Narrow" w:hAnsi="Arial Narrow" w:cs="Arial"/>
          <w:lang w:val="es-ES_tradnl"/>
        </w:rPr>
        <w:t>acto administrativo:</w:t>
      </w:r>
    </w:p>
    <w:p w:rsidR="00584CD6" w:rsidRPr="0066457D" w:rsidRDefault="00584CD6" w:rsidP="00584CD6">
      <w:pPr>
        <w:widowControl w:val="0"/>
        <w:autoSpaceDE w:val="0"/>
        <w:autoSpaceDN w:val="0"/>
        <w:adjustRightInd w:val="0"/>
        <w:contextualSpacing/>
        <w:jc w:val="both"/>
        <w:rPr>
          <w:rFonts w:ascii="Arial Narrow" w:hAnsi="Arial Narrow" w:cs="Arial"/>
          <w:b/>
        </w:rPr>
      </w:pPr>
    </w:p>
    <w:p w:rsidR="00AB4E17" w:rsidRPr="0066457D" w:rsidRDefault="00584CD6" w:rsidP="00584CD6">
      <w:pPr>
        <w:contextualSpacing/>
        <w:jc w:val="both"/>
        <w:rPr>
          <w:rFonts w:ascii="Arial Narrow" w:hAnsi="Arial Narrow" w:cs="Arial"/>
        </w:rPr>
      </w:pPr>
      <w:r w:rsidRPr="0066457D">
        <w:rPr>
          <w:rFonts w:ascii="Arial Narrow" w:hAnsi="Arial Narrow" w:cs="Arial"/>
        </w:rPr>
        <w:t xml:space="preserve">Las normas que otorgan la competencia para la expedición del acto administrativo están contenidas en las siguientes normas: </w:t>
      </w:r>
    </w:p>
    <w:p w:rsidR="00AB4E17" w:rsidRPr="0066457D" w:rsidRDefault="00AB4E17" w:rsidP="00584CD6">
      <w:pPr>
        <w:contextualSpacing/>
        <w:jc w:val="both"/>
        <w:rPr>
          <w:rFonts w:ascii="Arial Narrow" w:hAnsi="Arial Narrow" w:cs="Arial"/>
        </w:rPr>
      </w:pPr>
    </w:p>
    <w:p w:rsidR="00AB4E17" w:rsidRPr="0066457D" w:rsidRDefault="00AB4E17" w:rsidP="00584CD6">
      <w:pPr>
        <w:contextualSpacing/>
        <w:jc w:val="both"/>
        <w:rPr>
          <w:rFonts w:ascii="Arial Narrow" w:hAnsi="Arial Narrow" w:cs="Arial"/>
        </w:rPr>
      </w:pPr>
      <w:r w:rsidRPr="0066457D">
        <w:rPr>
          <w:rFonts w:ascii="Arial Narrow" w:hAnsi="Arial Narrow" w:cs="Arial"/>
        </w:rPr>
        <w:t>Los numerales 11 y 17 del artículo 189 de la Constitución Política, dan como facultad al Presidente de la República, el ejercicio de la potestad reglamentaria, mediante la expedición de decretos, resoluciones y órdenes necesarios para la cumplida ejecución de las leyes.</w:t>
      </w:r>
    </w:p>
    <w:p w:rsidR="00AB4E17" w:rsidRPr="0066457D" w:rsidRDefault="00AB4E17" w:rsidP="00584CD6">
      <w:pPr>
        <w:contextualSpacing/>
        <w:jc w:val="both"/>
        <w:rPr>
          <w:rFonts w:ascii="Arial Narrow" w:hAnsi="Arial Narrow" w:cs="Arial"/>
        </w:rPr>
      </w:pPr>
    </w:p>
    <w:p w:rsidR="004845E7" w:rsidRPr="0066457D" w:rsidRDefault="002C2C61" w:rsidP="00584CD6">
      <w:pPr>
        <w:contextualSpacing/>
        <w:jc w:val="both"/>
        <w:rPr>
          <w:rFonts w:ascii="Arial Narrow" w:hAnsi="Arial Narrow" w:cs="Arial"/>
        </w:rPr>
      </w:pPr>
      <w:r w:rsidRPr="0066457D">
        <w:rPr>
          <w:rFonts w:ascii="Arial Narrow" w:hAnsi="Arial Narrow" w:cs="Arial"/>
        </w:rPr>
        <w:t xml:space="preserve">Los artículos 156 de la Ley 1151 de 2007, </w:t>
      </w:r>
      <w:r w:rsidR="004A3A98" w:rsidRPr="0066457D">
        <w:rPr>
          <w:rFonts w:ascii="Arial Narrow" w:hAnsi="Arial Narrow" w:cs="Arial"/>
        </w:rPr>
        <w:t xml:space="preserve">276 de la Ley 1450 de 2011, </w:t>
      </w:r>
      <w:r w:rsidRPr="0066457D">
        <w:rPr>
          <w:rFonts w:ascii="Arial Narrow" w:hAnsi="Arial Narrow" w:cs="Arial"/>
        </w:rPr>
        <w:t xml:space="preserve">267 de la Ley 1753 de 2015, 1 y 2 del Decreto Ley 169 de 2008 y 2 del Decreto 575 de 2013, </w:t>
      </w:r>
      <w:r w:rsidR="004A3A98" w:rsidRPr="0066457D">
        <w:rPr>
          <w:rFonts w:ascii="Arial Narrow" w:hAnsi="Arial Narrow" w:cs="Arial"/>
        </w:rPr>
        <w:t xml:space="preserve">dan como función a la </w:t>
      </w:r>
      <w:r w:rsidRPr="0066457D">
        <w:rPr>
          <w:rFonts w:ascii="Arial Narrow" w:hAnsi="Arial Narrow" w:cs="Arial"/>
        </w:rPr>
        <w:t>UGPP reconocer y administrar los derechos pensionales y prestaciones económicas a cargo de las administradoras exclusivas de servidores públicos del Régimen de Prima Media.</w:t>
      </w:r>
    </w:p>
    <w:p w:rsidR="004845E7" w:rsidRPr="0066457D" w:rsidRDefault="004845E7" w:rsidP="00584CD6">
      <w:pPr>
        <w:contextualSpacing/>
        <w:jc w:val="both"/>
        <w:rPr>
          <w:rFonts w:ascii="Arial Narrow" w:hAnsi="Arial Narrow" w:cs="Arial"/>
        </w:rPr>
      </w:pPr>
    </w:p>
    <w:p w:rsidR="00AB4E17" w:rsidRPr="0066457D" w:rsidRDefault="00AB4E17" w:rsidP="00584CD6">
      <w:pPr>
        <w:contextualSpacing/>
        <w:jc w:val="both"/>
        <w:rPr>
          <w:rFonts w:ascii="Arial Narrow" w:hAnsi="Arial Narrow" w:cs="Arial"/>
        </w:rPr>
      </w:pPr>
      <w:r w:rsidRPr="0066457D">
        <w:rPr>
          <w:rFonts w:ascii="Arial Narrow" w:hAnsi="Arial Narrow" w:cs="Arial"/>
        </w:rPr>
        <w:lastRenderedPageBreak/>
        <w:t>El artículo 24 de la Ley 1837 de 2017 autoriza a la Nación – Ministerio de Hacienda y Crédito Público en concurrir</w:t>
      </w:r>
      <w:r w:rsidR="00B02F5A" w:rsidRPr="0066457D">
        <w:rPr>
          <w:rFonts w:ascii="Arial Narrow" w:hAnsi="Arial Narrow" w:cs="Arial"/>
        </w:rPr>
        <w:t xml:space="preserve"> en la capitalización de Coltel, y asumir los derechos pensional de los ex trabajadores de Telecom y las Teleasociadas liquidadas</w:t>
      </w:r>
      <w:r w:rsidR="004845E7" w:rsidRPr="0066457D">
        <w:rPr>
          <w:rFonts w:ascii="Arial Narrow" w:hAnsi="Arial Narrow" w:cs="Arial"/>
        </w:rPr>
        <w:t>, a través del Fopep</w:t>
      </w:r>
      <w:r w:rsidR="00B02F5A" w:rsidRPr="0066457D">
        <w:rPr>
          <w:rFonts w:ascii="Arial Narrow" w:hAnsi="Arial Narrow" w:cs="Arial"/>
        </w:rPr>
        <w:t xml:space="preserve">. </w:t>
      </w:r>
    </w:p>
    <w:p w:rsidR="00AB4E17" w:rsidRPr="0066457D" w:rsidRDefault="00AB4E17" w:rsidP="00584CD6">
      <w:pPr>
        <w:contextualSpacing/>
        <w:jc w:val="both"/>
        <w:rPr>
          <w:rFonts w:ascii="Arial Narrow" w:hAnsi="Arial Narrow" w:cs="Arial"/>
        </w:rPr>
      </w:pPr>
    </w:p>
    <w:p w:rsidR="004A3A98" w:rsidRPr="0066457D" w:rsidRDefault="004A3A98" w:rsidP="00584CD6">
      <w:pPr>
        <w:contextualSpacing/>
        <w:jc w:val="both"/>
        <w:rPr>
          <w:rFonts w:ascii="Arial Narrow" w:hAnsi="Arial Narrow" w:cs="Arial"/>
        </w:rPr>
      </w:pPr>
      <w:r w:rsidRPr="0066457D">
        <w:rPr>
          <w:rFonts w:ascii="Arial Narrow" w:hAnsi="Arial Narrow" w:cs="Arial"/>
        </w:rPr>
        <w:t>El artículo 2 del Decreto 2408 de 2014, ordenó a Caprecom trasladar las reservas de vejez, invalidez y sobrevivencia del Fondo Común de Naturaleza Pública –Foncap.</w:t>
      </w:r>
    </w:p>
    <w:p w:rsidR="004A3A98" w:rsidRPr="0066457D" w:rsidRDefault="004A3A98" w:rsidP="00584CD6">
      <w:pPr>
        <w:contextualSpacing/>
        <w:jc w:val="both"/>
        <w:rPr>
          <w:rFonts w:ascii="Arial Narrow" w:hAnsi="Arial Narrow" w:cs="Arial"/>
        </w:rPr>
      </w:pPr>
    </w:p>
    <w:p w:rsidR="004A3A98" w:rsidRPr="0066457D" w:rsidRDefault="004A3A98" w:rsidP="00584CD6">
      <w:pPr>
        <w:contextualSpacing/>
        <w:jc w:val="both"/>
        <w:rPr>
          <w:rFonts w:ascii="Arial Narrow" w:hAnsi="Arial Narrow" w:cs="Arial"/>
        </w:rPr>
      </w:pPr>
      <w:r w:rsidRPr="0066457D">
        <w:rPr>
          <w:rFonts w:ascii="Arial Narrow" w:hAnsi="Arial Narrow" w:cs="Arial"/>
        </w:rPr>
        <w:t>Los artículos 2.2.10.32.4, 2.2.10.32.5 y 2.2.10.32.6 del Decreto 1833 de 2016 establecen las reglas para la financiación del pasivo y la función pensional de las Teleasociadas y de Telecom en temas como cuotas partes pensionales, bonos pensionales y aportes patronales pensionales entre otros.</w:t>
      </w:r>
    </w:p>
    <w:p w:rsidR="00480F99" w:rsidRPr="0066457D" w:rsidRDefault="00480F99" w:rsidP="00584CD6">
      <w:pPr>
        <w:spacing w:line="276" w:lineRule="atLeast"/>
        <w:jc w:val="both"/>
        <w:rPr>
          <w:rFonts w:ascii="Arial Narrow" w:hAnsi="Arial Narrow" w:cs="Arial"/>
          <w:b/>
          <w:lang w:eastAsia="en-US"/>
        </w:rPr>
      </w:pPr>
    </w:p>
    <w:p w:rsidR="00584CD6" w:rsidRPr="0066457D" w:rsidRDefault="00584CD6" w:rsidP="00584CD6">
      <w:pPr>
        <w:spacing w:line="276" w:lineRule="atLeast"/>
        <w:jc w:val="both"/>
        <w:rPr>
          <w:rFonts w:ascii="Arial Narrow" w:hAnsi="Arial Narrow" w:cs="Arial"/>
        </w:rPr>
      </w:pPr>
      <w:r w:rsidRPr="0066457D">
        <w:rPr>
          <w:rFonts w:ascii="Arial Narrow" w:hAnsi="Arial Narrow" w:cs="Arial"/>
          <w:b/>
          <w:lang w:eastAsia="en-US"/>
        </w:rPr>
        <w:t>3.2.</w:t>
      </w:r>
      <w:r w:rsidRPr="0066457D">
        <w:rPr>
          <w:rFonts w:ascii="Arial Narrow" w:hAnsi="Arial Narrow" w:cs="Arial"/>
          <w:b/>
          <w:lang w:eastAsia="en-US"/>
        </w:rPr>
        <w:tab/>
      </w:r>
      <w:r w:rsidRPr="0066457D">
        <w:rPr>
          <w:rFonts w:ascii="Arial Narrow" w:hAnsi="Arial Narrow" w:cs="Arial"/>
          <w:lang w:eastAsia="en-US"/>
        </w:rPr>
        <w:t xml:space="preserve">Vigencia de la ley o norma reglamentada o desarrollada con el </w:t>
      </w:r>
      <w:r w:rsidRPr="0066457D">
        <w:rPr>
          <w:rFonts w:ascii="Arial Narrow" w:hAnsi="Arial Narrow" w:cs="Arial"/>
          <w:lang w:val="es-ES_tradnl"/>
        </w:rPr>
        <w:t>acto administrativo</w:t>
      </w:r>
      <w:r w:rsidRPr="0066457D">
        <w:rPr>
          <w:rFonts w:ascii="Arial Narrow" w:hAnsi="Arial Narrow" w:cs="Arial"/>
          <w:lang w:eastAsia="en-US"/>
        </w:rPr>
        <w:t>:</w:t>
      </w:r>
    </w:p>
    <w:p w:rsidR="00584CD6" w:rsidRPr="0066457D" w:rsidRDefault="00584CD6" w:rsidP="00584CD6">
      <w:pPr>
        <w:jc w:val="both"/>
        <w:rPr>
          <w:rFonts w:ascii="Arial Narrow" w:hAnsi="Arial Narrow" w:cs="Arial"/>
        </w:rPr>
      </w:pPr>
    </w:p>
    <w:p w:rsidR="00584CD6" w:rsidRPr="0066457D" w:rsidRDefault="00584CD6" w:rsidP="004A3A98">
      <w:pPr>
        <w:jc w:val="both"/>
        <w:rPr>
          <w:rFonts w:ascii="Arial Narrow" w:hAnsi="Arial Narrow" w:cs="Arial"/>
          <w:lang w:val="es-ES_tradnl"/>
        </w:rPr>
      </w:pPr>
      <w:r w:rsidRPr="0066457D">
        <w:rPr>
          <w:rFonts w:ascii="Arial Narrow" w:hAnsi="Arial Narrow" w:cs="Arial"/>
          <w:lang w:val="es-ES_tradnl"/>
        </w:rPr>
        <w:t>Las disposiciones</w:t>
      </w:r>
      <w:r w:rsidR="004A3A98" w:rsidRPr="0066457D">
        <w:rPr>
          <w:rFonts w:ascii="Arial Narrow" w:hAnsi="Arial Narrow" w:cs="Arial"/>
          <w:lang w:val="es-ES_tradnl"/>
        </w:rPr>
        <w:t xml:space="preserve"> </w:t>
      </w:r>
      <w:r w:rsidRPr="0066457D">
        <w:rPr>
          <w:rFonts w:ascii="Arial Narrow" w:hAnsi="Arial Narrow" w:cs="Arial"/>
          <w:lang w:val="es-ES_tradnl"/>
        </w:rPr>
        <w:t xml:space="preserve"> </w:t>
      </w:r>
      <w:r w:rsidR="004A3A98" w:rsidRPr="0066457D">
        <w:rPr>
          <w:rFonts w:ascii="Arial Narrow" w:hAnsi="Arial Narrow" w:cs="Arial"/>
          <w:lang w:val="es-ES_tradnl"/>
        </w:rPr>
        <w:t>del artículo 189 de la Constitución Política, l</w:t>
      </w:r>
      <w:r w:rsidR="004A3A98" w:rsidRPr="0066457D">
        <w:rPr>
          <w:rFonts w:ascii="Arial Narrow" w:hAnsi="Arial Narrow" w:cs="Arial"/>
          <w:lang w:val="es-ES_tradnl"/>
        </w:rPr>
        <w:t>os artículos 156 de la Ley 1151 de 2007, 276 de la Ley 1450 de 2011</w:t>
      </w:r>
      <w:r w:rsidR="003A6123" w:rsidRPr="0066457D">
        <w:rPr>
          <w:rFonts w:ascii="Arial Narrow" w:hAnsi="Arial Narrow" w:cs="Arial"/>
          <w:lang w:val="es-ES_tradnl"/>
        </w:rPr>
        <w:t>, 267 de la Ley 1753 de 2015, 1 y 2</w:t>
      </w:r>
      <w:r w:rsidR="004A3A98" w:rsidRPr="0066457D">
        <w:rPr>
          <w:rFonts w:ascii="Arial Narrow" w:hAnsi="Arial Narrow" w:cs="Arial"/>
          <w:lang w:val="es-ES_tradnl"/>
        </w:rPr>
        <w:t xml:space="preserve"> del Decreto Ley 169 de 2008</w:t>
      </w:r>
      <w:r w:rsidR="003A6123" w:rsidRPr="0066457D">
        <w:rPr>
          <w:rFonts w:ascii="Arial Narrow" w:hAnsi="Arial Narrow" w:cs="Arial"/>
          <w:lang w:val="es-ES_tradnl"/>
        </w:rPr>
        <w:t>,</w:t>
      </w:r>
      <w:r w:rsidR="004A3A98" w:rsidRPr="0066457D">
        <w:rPr>
          <w:rFonts w:ascii="Arial Narrow" w:hAnsi="Arial Narrow" w:cs="Arial"/>
          <w:lang w:val="es-ES_tradnl"/>
        </w:rPr>
        <w:t xml:space="preserve"> 2 del Decreto 575 de 2013, 24 de la Ley 1837 de 2017</w:t>
      </w:r>
      <w:r w:rsidR="004A3A98" w:rsidRPr="0066457D">
        <w:rPr>
          <w:rFonts w:ascii="Arial Narrow" w:hAnsi="Arial Narrow" w:cs="Arial"/>
          <w:lang w:val="es-ES_tradnl"/>
        </w:rPr>
        <w:t>,</w:t>
      </w:r>
      <w:r w:rsidR="004A3A98" w:rsidRPr="0066457D">
        <w:rPr>
          <w:rFonts w:ascii="Arial Narrow" w:hAnsi="Arial Narrow" w:cs="Arial"/>
          <w:lang w:val="es-ES_tradnl"/>
        </w:rPr>
        <w:t xml:space="preserve"> 2 del Decreto 2408 de 2014, 2.2.10.32.4, 2.2.10.32.5 y 2.2.10.32.6 del Decreto 1833 de 2016</w:t>
      </w:r>
      <w:r w:rsidR="001C3E54" w:rsidRPr="0066457D">
        <w:rPr>
          <w:rFonts w:ascii="Arial Narrow" w:hAnsi="Arial Narrow" w:cs="Arial"/>
          <w:lang w:val="es-ES_tradnl"/>
        </w:rPr>
        <w:t>,</w:t>
      </w:r>
      <w:r w:rsidRPr="0066457D">
        <w:rPr>
          <w:rFonts w:ascii="Arial Narrow" w:hAnsi="Arial Narrow" w:cs="Arial"/>
          <w:lang w:val="es-ES_tradnl"/>
        </w:rPr>
        <w:t xml:space="preserve"> que sustentan la expedición del proyecto normativo se encuentran actualmente vigentes y no han tenido limitaciones vía jurisprudencia.</w:t>
      </w:r>
    </w:p>
    <w:p w:rsidR="00584CD6" w:rsidRPr="0066457D" w:rsidRDefault="00584CD6" w:rsidP="00584CD6">
      <w:pPr>
        <w:jc w:val="both"/>
        <w:rPr>
          <w:rFonts w:ascii="Arial Narrow" w:hAnsi="Arial Narrow" w:cs="Arial"/>
          <w:lang w:val="es-ES_tradnl"/>
        </w:rPr>
      </w:pPr>
    </w:p>
    <w:p w:rsidR="00584CD6" w:rsidRPr="0066457D" w:rsidRDefault="00584CD6" w:rsidP="00584CD6">
      <w:pPr>
        <w:spacing w:after="262" w:line="271" w:lineRule="atLeast"/>
        <w:ind w:right="49"/>
        <w:jc w:val="both"/>
        <w:rPr>
          <w:rFonts w:ascii="Arial Narrow" w:hAnsi="Arial Narrow" w:cs="Arial"/>
        </w:rPr>
      </w:pPr>
      <w:r w:rsidRPr="0066457D">
        <w:rPr>
          <w:rFonts w:ascii="Arial Narrow" w:hAnsi="Arial Narrow" w:cs="Arial"/>
          <w:b/>
          <w:color w:val="000000"/>
          <w:lang w:eastAsia="en-US"/>
        </w:rPr>
        <w:t>3.3.</w:t>
      </w:r>
      <w:r w:rsidRPr="0066457D">
        <w:rPr>
          <w:rFonts w:ascii="Arial Narrow" w:hAnsi="Arial Narrow" w:cs="Arial"/>
          <w:b/>
          <w:color w:val="000000"/>
          <w:lang w:eastAsia="en-US"/>
        </w:rPr>
        <w:tab/>
      </w:r>
      <w:r w:rsidRPr="0066457D">
        <w:rPr>
          <w:rFonts w:ascii="Arial Narrow" w:hAnsi="Arial Narrow" w:cs="Arial"/>
          <w:color w:val="000000"/>
          <w:lang w:eastAsia="en-US"/>
        </w:rPr>
        <w:t xml:space="preserve">Disposiciones que se derogan, subrogan, modifican, adicionan o desarrollan con el </w:t>
      </w:r>
      <w:r w:rsidRPr="0066457D">
        <w:rPr>
          <w:rFonts w:ascii="Arial Narrow" w:hAnsi="Arial Narrow" w:cs="Arial"/>
          <w:lang w:val="es-ES_tradnl"/>
        </w:rPr>
        <w:t>acto administrativo</w:t>
      </w:r>
      <w:r w:rsidRPr="0066457D">
        <w:rPr>
          <w:rFonts w:ascii="Arial Narrow" w:hAnsi="Arial Narrow" w:cs="Arial"/>
          <w:color w:val="000000"/>
          <w:lang w:eastAsia="en-US"/>
        </w:rPr>
        <w:t>:</w:t>
      </w:r>
    </w:p>
    <w:p w:rsidR="00584CD6" w:rsidRPr="0066457D" w:rsidRDefault="002F602A" w:rsidP="00584CD6">
      <w:pPr>
        <w:jc w:val="both"/>
        <w:rPr>
          <w:rFonts w:ascii="Arial Narrow" w:hAnsi="Arial Narrow" w:cs="Arial"/>
        </w:rPr>
      </w:pPr>
      <w:r w:rsidRPr="0066457D">
        <w:rPr>
          <w:rFonts w:ascii="Arial Narrow" w:hAnsi="Arial Narrow" w:cs="Arial"/>
        </w:rPr>
        <w:t>El proyecto de Decreto modifica los artículos 2.2.10.32.4, 2.2.10.32.5 y 2.2.10.32.6, y se adiciona el artículo 2.2.10.32.10 al Decreto 1833 de 2016.</w:t>
      </w:r>
    </w:p>
    <w:p w:rsidR="00584CD6" w:rsidRPr="0066457D" w:rsidRDefault="00584CD6" w:rsidP="00584CD6">
      <w:pPr>
        <w:jc w:val="both"/>
        <w:rPr>
          <w:rFonts w:ascii="Arial Narrow" w:hAnsi="Arial Narrow" w:cs="Arial"/>
        </w:rPr>
      </w:pPr>
    </w:p>
    <w:p w:rsidR="00584CD6" w:rsidRPr="0066457D" w:rsidRDefault="00584CD6" w:rsidP="00584CD6">
      <w:pPr>
        <w:ind w:left="705" w:hanging="705"/>
        <w:jc w:val="both"/>
        <w:rPr>
          <w:rFonts w:ascii="Arial Narrow" w:hAnsi="Arial Narrow" w:cs="Arial"/>
        </w:rPr>
      </w:pPr>
      <w:r w:rsidRPr="0066457D">
        <w:rPr>
          <w:rFonts w:ascii="Arial Narrow" w:hAnsi="Arial Narrow" w:cs="Arial"/>
          <w:b/>
        </w:rPr>
        <w:t>3.4.</w:t>
      </w:r>
      <w:r w:rsidRPr="0066457D">
        <w:rPr>
          <w:rFonts w:ascii="Arial Narrow" w:hAnsi="Arial Narrow" w:cs="Arial"/>
        </w:rPr>
        <w:tab/>
        <w:t>Revisión y análisis de las decisiones judiciales de los órganos de cierre de cada jurisdicción que pueden tener impacto o ser relevantes para la expedición del acto:</w:t>
      </w:r>
    </w:p>
    <w:p w:rsidR="00584CD6" w:rsidRPr="0066457D" w:rsidRDefault="00584CD6" w:rsidP="00584CD6">
      <w:pPr>
        <w:jc w:val="both"/>
        <w:rPr>
          <w:rFonts w:ascii="Arial Narrow" w:hAnsi="Arial Narrow" w:cs="Arial"/>
        </w:rPr>
      </w:pPr>
    </w:p>
    <w:p w:rsidR="00584CD6" w:rsidRPr="0066457D" w:rsidRDefault="002F602A" w:rsidP="00584CD6">
      <w:pPr>
        <w:jc w:val="both"/>
        <w:rPr>
          <w:rFonts w:ascii="Arial Narrow" w:hAnsi="Arial Narrow" w:cs="Arial"/>
        </w:rPr>
      </w:pPr>
      <w:r w:rsidRPr="0066457D">
        <w:rPr>
          <w:rFonts w:ascii="Arial Narrow" w:hAnsi="Arial Narrow" w:cs="Arial"/>
        </w:rPr>
        <w:t>A la fecha no hay precedentes jurisprudenciales que puedan tener impacto o ser relevantes para la expedición del proyecto normativo.</w:t>
      </w:r>
    </w:p>
    <w:p w:rsidR="00584CD6" w:rsidRPr="0066457D" w:rsidRDefault="00584CD6" w:rsidP="00584CD6">
      <w:pPr>
        <w:ind w:left="705" w:hanging="705"/>
        <w:jc w:val="both"/>
        <w:rPr>
          <w:rFonts w:ascii="Arial Narrow" w:hAnsi="Arial Narrow" w:cs="Arial"/>
          <w:b/>
        </w:rPr>
      </w:pPr>
    </w:p>
    <w:p w:rsidR="00584CD6" w:rsidRPr="0066457D" w:rsidRDefault="00584CD6" w:rsidP="00584CD6">
      <w:pPr>
        <w:ind w:left="705" w:hanging="705"/>
        <w:jc w:val="both"/>
        <w:rPr>
          <w:rFonts w:ascii="Arial Narrow" w:hAnsi="Arial Narrow" w:cs="Arial"/>
        </w:rPr>
      </w:pPr>
      <w:r w:rsidRPr="0066457D">
        <w:rPr>
          <w:rFonts w:ascii="Arial Narrow" w:hAnsi="Arial Narrow" w:cs="Arial"/>
          <w:b/>
        </w:rPr>
        <w:t>3.5.</w:t>
      </w:r>
      <w:r w:rsidRPr="0066457D">
        <w:rPr>
          <w:rFonts w:ascii="Arial Narrow" w:hAnsi="Arial Narrow" w:cs="Arial"/>
        </w:rPr>
        <w:tab/>
        <w:t>Advertencia de cualquier otra circunstancia jurídica que pueda ser relevante para la expedición del acto:</w:t>
      </w:r>
    </w:p>
    <w:p w:rsidR="00584CD6" w:rsidRPr="0066457D" w:rsidRDefault="00584CD6" w:rsidP="00584CD6">
      <w:pPr>
        <w:jc w:val="both"/>
        <w:rPr>
          <w:rFonts w:ascii="Arial Narrow" w:hAnsi="Arial Narrow" w:cs="Arial"/>
        </w:rPr>
      </w:pPr>
    </w:p>
    <w:p w:rsidR="00584CD6" w:rsidRPr="0066457D" w:rsidRDefault="002F602A" w:rsidP="00584CD6">
      <w:pPr>
        <w:jc w:val="both"/>
        <w:rPr>
          <w:rFonts w:ascii="Arial Narrow" w:hAnsi="Arial Narrow" w:cs="Arial"/>
        </w:rPr>
      </w:pPr>
      <w:r w:rsidRPr="0066457D">
        <w:rPr>
          <w:rFonts w:ascii="Arial Narrow" w:hAnsi="Arial Narrow" w:cs="Arial"/>
        </w:rPr>
        <w:t>La expedición del proyecto de decreto obedece a la directa aplicación de las normas que otorgan competencia para la misma, razón por la cual no hay circunstancias adicionales especiales.</w:t>
      </w:r>
    </w:p>
    <w:p w:rsidR="002F602A" w:rsidRPr="0066457D" w:rsidRDefault="002F602A" w:rsidP="00584CD6">
      <w:pPr>
        <w:jc w:val="both"/>
        <w:rPr>
          <w:rFonts w:ascii="Arial Narrow" w:hAnsi="Arial Narrow" w:cs="Arial"/>
          <w:b/>
          <w:lang w:val="es-ES_tradnl"/>
        </w:rPr>
      </w:pPr>
    </w:p>
    <w:p w:rsidR="00584CD6" w:rsidRPr="0066457D" w:rsidRDefault="00584CD6" w:rsidP="00584CD6">
      <w:pPr>
        <w:jc w:val="both"/>
        <w:rPr>
          <w:rFonts w:ascii="Arial Narrow" w:hAnsi="Arial Narrow" w:cs="Arial"/>
          <w:b/>
          <w:lang w:val="es-ES_tradnl"/>
        </w:rPr>
      </w:pPr>
      <w:r w:rsidRPr="0066457D">
        <w:rPr>
          <w:rFonts w:ascii="Arial Narrow" w:hAnsi="Arial Narrow" w:cs="Arial"/>
          <w:b/>
          <w:lang w:val="es-ES_tradnl"/>
        </w:rPr>
        <w:t>4.</w:t>
      </w:r>
      <w:r w:rsidRPr="0066457D">
        <w:rPr>
          <w:rFonts w:ascii="Arial Narrow" w:hAnsi="Arial Narrow" w:cs="Arial"/>
          <w:b/>
          <w:lang w:val="es-ES_tradnl"/>
        </w:rPr>
        <w:tab/>
        <w:t>Estudio preliminar sobre posible impacto económico de la norma a expedir</w:t>
      </w:r>
    </w:p>
    <w:p w:rsidR="00584CD6" w:rsidRPr="0066457D" w:rsidRDefault="00584CD6" w:rsidP="00584CD6">
      <w:pPr>
        <w:autoSpaceDE w:val="0"/>
        <w:autoSpaceDN w:val="0"/>
        <w:adjustRightInd w:val="0"/>
        <w:jc w:val="both"/>
        <w:rPr>
          <w:rFonts w:ascii="Arial Narrow" w:hAnsi="Arial Narrow" w:cs="Arial"/>
          <w:lang w:val="es-ES_tradnl"/>
        </w:rPr>
      </w:pPr>
    </w:p>
    <w:p w:rsidR="00584CD6" w:rsidRDefault="002F602A" w:rsidP="00584CD6">
      <w:pPr>
        <w:autoSpaceDE w:val="0"/>
        <w:autoSpaceDN w:val="0"/>
        <w:adjustRightInd w:val="0"/>
        <w:jc w:val="both"/>
        <w:rPr>
          <w:rFonts w:ascii="Arial Narrow" w:hAnsi="Arial Narrow" w:cs="Arial"/>
        </w:rPr>
      </w:pPr>
      <w:r w:rsidRPr="0066457D">
        <w:rPr>
          <w:rFonts w:ascii="Arial Narrow" w:hAnsi="Arial Narrow" w:cs="Arial"/>
        </w:rPr>
        <w:t>La implementación de las disposiciones del acto administrativo, no conlleva afectación alguna al presupuesto de las entidades implicadas.</w:t>
      </w:r>
    </w:p>
    <w:p w:rsidR="0066457D" w:rsidRPr="0066457D" w:rsidRDefault="0066457D" w:rsidP="00584CD6">
      <w:pPr>
        <w:autoSpaceDE w:val="0"/>
        <w:autoSpaceDN w:val="0"/>
        <w:adjustRightInd w:val="0"/>
        <w:jc w:val="both"/>
        <w:rPr>
          <w:rFonts w:ascii="Arial Narrow" w:hAnsi="Arial Narrow" w:cs="Arial"/>
        </w:rPr>
      </w:pPr>
    </w:p>
    <w:p w:rsidR="00054784" w:rsidRPr="0066457D" w:rsidRDefault="00054784" w:rsidP="00584CD6">
      <w:pPr>
        <w:autoSpaceDE w:val="0"/>
        <w:autoSpaceDN w:val="0"/>
        <w:adjustRightInd w:val="0"/>
        <w:jc w:val="both"/>
        <w:rPr>
          <w:rFonts w:ascii="Arial Narrow" w:hAnsi="Arial Narrow" w:cs="Arial"/>
          <w:b/>
          <w:bCs/>
        </w:rPr>
      </w:pPr>
    </w:p>
    <w:p w:rsidR="00584CD6" w:rsidRPr="0066457D" w:rsidRDefault="00584CD6" w:rsidP="00584CD6">
      <w:pPr>
        <w:autoSpaceDE w:val="0"/>
        <w:autoSpaceDN w:val="0"/>
        <w:adjustRightInd w:val="0"/>
        <w:jc w:val="both"/>
        <w:rPr>
          <w:rFonts w:ascii="Arial Narrow" w:hAnsi="Arial Narrow" w:cs="Arial"/>
          <w:b/>
          <w:bCs/>
        </w:rPr>
      </w:pPr>
      <w:r w:rsidRPr="0066457D">
        <w:rPr>
          <w:rFonts w:ascii="Arial Narrow" w:hAnsi="Arial Narrow" w:cs="Arial"/>
          <w:b/>
          <w:bCs/>
        </w:rPr>
        <w:lastRenderedPageBreak/>
        <w:t>5.</w:t>
      </w:r>
      <w:r w:rsidRPr="0066457D">
        <w:rPr>
          <w:rFonts w:ascii="Arial Narrow" w:hAnsi="Arial Narrow" w:cs="Arial"/>
          <w:b/>
          <w:bCs/>
        </w:rPr>
        <w:tab/>
        <w:t>Disponibilidad presupuestal</w:t>
      </w:r>
    </w:p>
    <w:p w:rsidR="00584CD6" w:rsidRPr="0066457D" w:rsidRDefault="00584CD6" w:rsidP="00584CD6">
      <w:pPr>
        <w:autoSpaceDE w:val="0"/>
        <w:autoSpaceDN w:val="0"/>
        <w:adjustRightInd w:val="0"/>
        <w:jc w:val="both"/>
        <w:rPr>
          <w:rFonts w:ascii="Arial Narrow" w:hAnsi="Arial Narrow" w:cs="Arial"/>
          <w:b/>
          <w:bCs/>
        </w:rPr>
      </w:pPr>
    </w:p>
    <w:p w:rsidR="00584CD6" w:rsidRPr="0066457D" w:rsidRDefault="002F602A" w:rsidP="00584CD6">
      <w:pPr>
        <w:autoSpaceDE w:val="0"/>
        <w:autoSpaceDN w:val="0"/>
        <w:adjustRightInd w:val="0"/>
        <w:jc w:val="both"/>
        <w:rPr>
          <w:rFonts w:ascii="Arial Narrow" w:hAnsi="Arial Narrow" w:cs="Arial"/>
        </w:rPr>
      </w:pPr>
      <w:r w:rsidRPr="0066457D">
        <w:rPr>
          <w:rFonts w:ascii="Arial Narrow" w:hAnsi="Arial Narrow" w:cs="Arial"/>
        </w:rPr>
        <w:t>No se requiere de disponibilidad presupuestal en la implementación de las disposiciones del acto administrativo.</w:t>
      </w:r>
    </w:p>
    <w:p w:rsidR="00584CD6" w:rsidRPr="0066457D" w:rsidRDefault="00584CD6" w:rsidP="00584CD6">
      <w:pPr>
        <w:autoSpaceDE w:val="0"/>
        <w:autoSpaceDN w:val="0"/>
        <w:adjustRightInd w:val="0"/>
        <w:jc w:val="both"/>
        <w:rPr>
          <w:rFonts w:ascii="Arial Narrow" w:hAnsi="Arial Narrow" w:cs="Arial"/>
          <w:b/>
          <w:bCs/>
        </w:rPr>
      </w:pPr>
    </w:p>
    <w:p w:rsidR="00584CD6" w:rsidRPr="0066457D" w:rsidRDefault="00584CD6" w:rsidP="00584CD6">
      <w:pPr>
        <w:autoSpaceDE w:val="0"/>
        <w:autoSpaceDN w:val="0"/>
        <w:adjustRightInd w:val="0"/>
        <w:ind w:left="705" w:hanging="705"/>
        <w:jc w:val="both"/>
        <w:rPr>
          <w:rFonts w:ascii="Arial Narrow" w:hAnsi="Arial Narrow" w:cs="Arial"/>
          <w:b/>
          <w:bCs/>
        </w:rPr>
      </w:pPr>
      <w:r w:rsidRPr="0066457D">
        <w:rPr>
          <w:rFonts w:ascii="Arial Narrow" w:hAnsi="Arial Narrow" w:cs="Arial"/>
          <w:b/>
          <w:bCs/>
        </w:rPr>
        <w:t>6.</w:t>
      </w:r>
      <w:r w:rsidRPr="0066457D">
        <w:rPr>
          <w:rFonts w:ascii="Arial Narrow" w:hAnsi="Arial Narrow" w:cs="Arial"/>
          <w:b/>
          <w:bCs/>
        </w:rPr>
        <w:tab/>
      </w:r>
      <w:r w:rsidRPr="0066457D">
        <w:rPr>
          <w:rFonts w:ascii="Arial Narrow" w:hAnsi="Arial Narrow" w:cs="Arial"/>
          <w:b/>
          <w:lang w:val="es-ES_tradnl"/>
        </w:rPr>
        <w:t>Estudio preliminar sobre posible impacto</w:t>
      </w:r>
      <w:r w:rsidRPr="0066457D">
        <w:rPr>
          <w:rFonts w:ascii="Arial Narrow" w:hAnsi="Arial Narrow" w:cs="Arial"/>
          <w:b/>
          <w:bCs/>
        </w:rPr>
        <w:t xml:space="preserve"> medioambiental o sobre el patrimonio cultural de la Nación</w:t>
      </w:r>
    </w:p>
    <w:p w:rsidR="00584CD6" w:rsidRPr="0066457D" w:rsidRDefault="00584CD6" w:rsidP="00584CD6">
      <w:pPr>
        <w:autoSpaceDE w:val="0"/>
        <w:autoSpaceDN w:val="0"/>
        <w:adjustRightInd w:val="0"/>
        <w:jc w:val="both"/>
        <w:rPr>
          <w:rFonts w:ascii="Arial Narrow" w:hAnsi="Arial Narrow" w:cs="Arial"/>
        </w:rPr>
      </w:pPr>
    </w:p>
    <w:p w:rsidR="00584CD6" w:rsidRPr="0066457D" w:rsidRDefault="00054784" w:rsidP="00054784">
      <w:pPr>
        <w:autoSpaceDE w:val="0"/>
        <w:autoSpaceDN w:val="0"/>
        <w:adjustRightInd w:val="0"/>
        <w:jc w:val="both"/>
        <w:rPr>
          <w:rFonts w:ascii="Arial Narrow" w:hAnsi="Arial Narrow" w:cs="Arial"/>
        </w:rPr>
      </w:pPr>
      <w:r w:rsidRPr="0066457D">
        <w:rPr>
          <w:rFonts w:ascii="Arial Narrow" w:hAnsi="Arial Narrow" w:cs="Arial"/>
        </w:rPr>
        <w:t>La norma a expedir no genera impacto medioambiental o sobre el patrimonio cultural de la Nación.</w:t>
      </w:r>
    </w:p>
    <w:p w:rsidR="00584CD6" w:rsidRPr="0066457D" w:rsidRDefault="00584CD6" w:rsidP="00584CD6">
      <w:pPr>
        <w:autoSpaceDE w:val="0"/>
        <w:autoSpaceDN w:val="0"/>
        <w:adjustRightInd w:val="0"/>
        <w:jc w:val="both"/>
        <w:rPr>
          <w:rFonts w:ascii="Arial Narrow" w:hAnsi="Arial Narrow" w:cs="Arial"/>
        </w:rPr>
      </w:pPr>
      <w:bookmarkStart w:id="0" w:name="_GoBack"/>
      <w:bookmarkEnd w:id="0"/>
    </w:p>
    <w:p w:rsidR="00584CD6" w:rsidRPr="0066457D" w:rsidRDefault="00584CD6" w:rsidP="00584CD6">
      <w:pPr>
        <w:contextualSpacing/>
        <w:jc w:val="both"/>
        <w:rPr>
          <w:rFonts w:ascii="Arial Narrow" w:hAnsi="Arial Narrow" w:cs="Arial"/>
          <w:b/>
        </w:rPr>
      </w:pPr>
    </w:p>
    <w:p w:rsidR="00CF7DC9" w:rsidRPr="0066457D" w:rsidRDefault="00CF7DC9" w:rsidP="00C46816">
      <w:pPr>
        <w:pStyle w:val="NormalWeb"/>
        <w:spacing w:before="0" w:beforeAutospacing="0" w:after="0" w:afterAutospacing="0"/>
        <w:jc w:val="both"/>
        <w:rPr>
          <w:rFonts w:ascii="Arial Narrow" w:hAnsi="Arial Narrow" w:cs="Arial"/>
        </w:rPr>
      </w:pPr>
    </w:p>
    <w:p w:rsidR="00C46816" w:rsidRPr="0066457D" w:rsidRDefault="00C46816" w:rsidP="00C46816">
      <w:pPr>
        <w:pStyle w:val="NormalWeb"/>
        <w:spacing w:before="0" w:beforeAutospacing="0" w:after="0" w:afterAutospacing="0"/>
        <w:jc w:val="both"/>
        <w:rPr>
          <w:rFonts w:ascii="Arial Narrow" w:hAnsi="Arial Narrow" w:cs="Arial"/>
        </w:rPr>
      </w:pPr>
      <w:r w:rsidRPr="0066457D">
        <w:rPr>
          <w:rFonts w:ascii="Arial Narrow" w:hAnsi="Arial Narrow" w:cs="Arial"/>
        </w:rPr>
        <w:tab/>
      </w:r>
    </w:p>
    <w:p w:rsidR="00C46816" w:rsidRPr="0066457D" w:rsidRDefault="00C46816" w:rsidP="00252479">
      <w:pPr>
        <w:jc w:val="both"/>
        <w:rPr>
          <w:rFonts w:ascii="Arial Narrow" w:hAnsi="Arial Narrow" w:cs="Arial"/>
          <w:b/>
          <w:color w:val="000000"/>
        </w:rPr>
      </w:pPr>
    </w:p>
    <w:p w:rsidR="00946CAD" w:rsidRPr="0066457D" w:rsidRDefault="00946CAD" w:rsidP="00252479">
      <w:pPr>
        <w:jc w:val="both"/>
        <w:rPr>
          <w:rFonts w:ascii="Arial Narrow" w:hAnsi="Arial Narrow" w:cs="Arial"/>
          <w:b/>
          <w:color w:val="000000"/>
        </w:rPr>
      </w:pPr>
    </w:p>
    <w:p w:rsidR="00946CAD" w:rsidRPr="0066457D" w:rsidRDefault="00054784" w:rsidP="00946CAD">
      <w:pPr>
        <w:pStyle w:val="NormalWeb"/>
        <w:spacing w:before="0" w:beforeAutospacing="0" w:after="0" w:afterAutospacing="0"/>
        <w:jc w:val="both"/>
        <w:rPr>
          <w:rFonts w:ascii="Arial Narrow" w:hAnsi="Arial Narrow" w:cs="Arial"/>
          <w:b/>
        </w:rPr>
      </w:pPr>
      <w:r w:rsidRPr="0066457D">
        <w:rPr>
          <w:rFonts w:ascii="Arial Narrow" w:hAnsi="Arial Narrow" w:cs="Arial"/>
          <w:b/>
        </w:rPr>
        <w:t>GINA DEL ROSARIO NUÑEZ POLO</w:t>
      </w:r>
    </w:p>
    <w:p w:rsidR="00946CAD" w:rsidRPr="0066457D" w:rsidRDefault="00054784" w:rsidP="00946CAD">
      <w:pPr>
        <w:pStyle w:val="NormalWeb"/>
        <w:spacing w:before="0" w:beforeAutospacing="0" w:after="0" w:afterAutospacing="0"/>
        <w:jc w:val="both"/>
        <w:rPr>
          <w:rFonts w:ascii="Arial Narrow" w:hAnsi="Arial Narrow" w:cs="Arial"/>
        </w:rPr>
      </w:pPr>
      <w:r w:rsidRPr="0066457D">
        <w:rPr>
          <w:rFonts w:ascii="Arial Narrow" w:hAnsi="Arial Narrow" w:cs="Arial"/>
        </w:rPr>
        <w:t>Subdirección Financiera</w:t>
      </w:r>
      <w:r w:rsidR="00946CAD" w:rsidRPr="0066457D" w:rsidDel="00935D5B">
        <w:rPr>
          <w:rFonts w:ascii="Arial Narrow" w:hAnsi="Arial Narrow" w:cs="Arial"/>
        </w:rPr>
        <w:t xml:space="preserve"> </w:t>
      </w:r>
    </w:p>
    <w:p w:rsidR="00946CAD" w:rsidRPr="0066457D" w:rsidRDefault="00946CAD" w:rsidP="00946CAD">
      <w:pPr>
        <w:pStyle w:val="NormalWeb"/>
        <w:spacing w:before="0" w:beforeAutospacing="0" w:after="0" w:afterAutospacing="0"/>
        <w:jc w:val="both"/>
        <w:rPr>
          <w:rFonts w:ascii="Arial Narrow" w:hAnsi="Arial Narrow" w:cs="Arial"/>
        </w:rPr>
      </w:pPr>
    </w:p>
    <w:p w:rsidR="00946CAD" w:rsidRPr="0066457D" w:rsidRDefault="00946CAD" w:rsidP="00946CAD">
      <w:pPr>
        <w:pStyle w:val="NormalWeb"/>
        <w:spacing w:before="0" w:beforeAutospacing="0" w:after="0" w:afterAutospacing="0"/>
        <w:jc w:val="both"/>
        <w:rPr>
          <w:rFonts w:ascii="Arial Narrow" w:hAnsi="Arial Narrow" w:cs="Arial"/>
        </w:rPr>
      </w:pPr>
    </w:p>
    <w:p w:rsidR="00946CAD" w:rsidRPr="0066457D" w:rsidRDefault="00946CAD" w:rsidP="00946CAD">
      <w:pPr>
        <w:pStyle w:val="NormalWeb"/>
        <w:spacing w:before="0" w:beforeAutospacing="0" w:after="0" w:afterAutospacing="0"/>
        <w:jc w:val="both"/>
        <w:rPr>
          <w:rFonts w:ascii="Arial Narrow" w:hAnsi="Arial Narrow" w:cs="Arial"/>
        </w:rPr>
      </w:pPr>
    </w:p>
    <w:p w:rsidR="00946CAD" w:rsidRPr="0066457D" w:rsidRDefault="00946CAD" w:rsidP="00946CAD">
      <w:pPr>
        <w:pStyle w:val="NormalWeb"/>
        <w:spacing w:before="0" w:beforeAutospacing="0" w:after="0" w:afterAutospacing="0"/>
        <w:jc w:val="both"/>
        <w:rPr>
          <w:rFonts w:ascii="Arial Narrow" w:hAnsi="Arial Narrow" w:cs="Arial"/>
        </w:rPr>
      </w:pPr>
    </w:p>
    <w:p w:rsidR="007060CF" w:rsidRPr="0066457D" w:rsidRDefault="007060CF" w:rsidP="00946CAD">
      <w:pPr>
        <w:pStyle w:val="NormalWeb"/>
        <w:spacing w:before="0" w:beforeAutospacing="0" w:after="0" w:afterAutospacing="0"/>
        <w:jc w:val="both"/>
        <w:rPr>
          <w:rFonts w:ascii="Arial Narrow" w:hAnsi="Arial Narrow" w:cs="Arial"/>
          <w:b/>
        </w:rPr>
      </w:pPr>
    </w:p>
    <w:p w:rsidR="007060CF" w:rsidRPr="0066457D" w:rsidRDefault="007060CF" w:rsidP="00946CAD">
      <w:pPr>
        <w:pStyle w:val="NormalWeb"/>
        <w:spacing w:before="0" w:beforeAutospacing="0" w:after="0" w:afterAutospacing="0"/>
        <w:jc w:val="both"/>
        <w:rPr>
          <w:rFonts w:ascii="Arial Narrow" w:hAnsi="Arial Narrow" w:cs="Arial"/>
          <w:b/>
        </w:rPr>
      </w:pPr>
    </w:p>
    <w:p w:rsidR="00946CAD" w:rsidRPr="0066457D" w:rsidRDefault="00054784" w:rsidP="00946CAD">
      <w:pPr>
        <w:pStyle w:val="NormalWeb"/>
        <w:spacing w:before="0" w:beforeAutospacing="0" w:after="0" w:afterAutospacing="0"/>
        <w:jc w:val="both"/>
        <w:rPr>
          <w:rFonts w:ascii="Arial Narrow" w:hAnsi="Arial Narrow" w:cs="Arial"/>
          <w:b/>
        </w:rPr>
      </w:pPr>
      <w:r w:rsidRPr="0066457D">
        <w:rPr>
          <w:rFonts w:ascii="Arial Narrow" w:hAnsi="Arial Narrow" w:cs="Arial"/>
          <w:b/>
        </w:rPr>
        <w:t>HUMBERTO CARLOS IZQUIERDO SAAVEDRA</w:t>
      </w:r>
    </w:p>
    <w:p w:rsidR="00946CAD" w:rsidRPr="0066457D" w:rsidRDefault="00946CAD" w:rsidP="00946CAD">
      <w:pPr>
        <w:pStyle w:val="NormalWeb"/>
        <w:spacing w:before="0" w:beforeAutospacing="0" w:after="0" w:afterAutospacing="0"/>
        <w:jc w:val="both"/>
        <w:rPr>
          <w:rFonts w:ascii="Arial Narrow" w:hAnsi="Arial Narrow" w:cs="Arial"/>
          <w:b/>
        </w:rPr>
      </w:pPr>
      <w:r w:rsidRPr="0066457D">
        <w:rPr>
          <w:rFonts w:ascii="Arial Narrow" w:hAnsi="Arial Narrow" w:cs="Arial"/>
        </w:rPr>
        <w:t>Jefe Oficina Asesora Jurídica</w:t>
      </w:r>
    </w:p>
    <w:p w:rsidR="00946CAD" w:rsidRPr="0066457D" w:rsidRDefault="00946CAD" w:rsidP="00946CAD">
      <w:pPr>
        <w:pStyle w:val="NormalWeb"/>
        <w:spacing w:before="0" w:beforeAutospacing="0" w:after="0" w:afterAutospacing="0"/>
        <w:ind w:left="708"/>
        <w:jc w:val="both"/>
        <w:rPr>
          <w:rFonts w:ascii="Arial Narrow" w:hAnsi="Arial Narrow" w:cs="Arial"/>
        </w:rPr>
      </w:pPr>
    </w:p>
    <w:p w:rsidR="00946CAD" w:rsidRPr="0066457D" w:rsidRDefault="00946CAD" w:rsidP="00946CAD">
      <w:pPr>
        <w:pStyle w:val="NormalWeb"/>
        <w:spacing w:before="0" w:beforeAutospacing="0" w:after="0" w:afterAutospacing="0"/>
        <w:jc w:val="both"/>
        <w:rPr>
          <w:rFonts w:ascii="Arial Narrow" w:hAnsi="Arial Narrow" w:cs="Arial"/>
        </w:rPr>
      </w:pPr>
    </w:p>
    <w:p w:rsidR="00946CAD" w:rsidRPr="0066457D" w:rsidRDefault="00946CAD" w:rsidP="00946CAD">
      <w:pPr>
        <w:pStyle w:val="NormalWeb"/>
        <w:spacing w:before="0" w:beforeAutospacing="0" w:after="0" w:afterAutospacing="0"/>
        <w:jc w:val="both"/>
        <w:rPr>
          <w:rFonts w:ascii="Arial Narrow" w:hAnsi="Arial Narrow" w:cs="Arial"/>
        </w:rPr>
      </w:pPr>
    </w:p>
    <w:p w:rsidR="00054784" w:rsidRPr="00F013C0" w:rsidRDefault="00054784" w:rsidP="00054784">
      <w:pPr>
        <w:pStyle w:val="NormalWeb"/>
        <w:spacing w:before="0" w:beforeAutospacing="0" w:after="0" w:afterAutospacing="0"/>
        <w:jc w:val="both"/>
        <w:rPr>
          <w:rFonts w:ascii="Arial Narrow" w:hAnsi="Arial Narrow" w:cs="Arial"/>
          <w:sz w:val="20"/>
          <w:szCs w:val="20"/>
        </w:rPr>
      </w:pPr>
      <w:r w:rsidRPr="00F013C0">
        <w:rPr>
          <w:rFonts w:ascii="Arial Narrow" w:hAnsi="Arial Narrow" w:cs="Arial"/>
          <w:sz w:val="20"/>
          <w:szCs w:val="20"/>
        </w:rPr>
        <w:t>E</w:t>
      </w:r>
      <w:r w:rsidR="00F013C0" w:rsidRPr="00F013C0">
        <w:rPr>
          <w:rFonts w:ascii="Arial Narrow" w:hAnsi="Arial Narrow" w:cs="Arial"/>
          <w:sz w:val="20"/>
          <w:szCs w:val="20"/>
        </w:rPr>
        <w:t xml:space="preserve">laboró: </w:t>
      </w:r>
      <w:r w:rsidRPr="00F013C0">
        <w:rPr>
          <w:rFonts w:ascii="Arial Narrow" w:hAnsi="Arial Narrow" w:cs="Arial"/>
          <w:sz w:val="20"/>
          <w:szCs w:val="20"/>
        </w:rPr>
        <w:t>Marisol Amado Gonzalez</w:t>
      </w:r>
    </w:p>
    <w:p w:rsidR="00CF7DC9" w:rsidRPr="00F013C0" w:rsidRDefault="00CF7DC9" w:rsidP="00054784">
      <w:pPr>
        <w:pStyle w:val="NormalWeb"/>
        <w:spacing w:before="0" w:beforeAutospacing="0" w:after="0" w:afterAutospacing="0"/>
        <w:jc w:val="both"/>
        <w:rPr>
          <w:rFonts w:ascii="Arial Narrow" w:hAnsi="Arial Narrow" w:cs="Arial"/>
          <w:sz w:val="20"/>
          <w:szCs w:val="20"/>
        </w:rPr>
      </w:pPr>
    </w:p>
    <w:p w:rsidR="00946CAD" w:rsidRPr="00F013C0" w:rsidRDefault="00054784" w:rsidP="00054784">
      <w:pPr>
        <w:pStyle w:val="NormalWeb"/>
        <w:spacing w:before="0" w:beforeAutospacing="0" w:after="0" w:afterAutospacing="0"/>
        <w:jc w:val="both"/>
        <w:rPr>
          <w:rFonts w:ascii="Arial Narrow" w:hAnsi="Arial Narrow" w:cs="Arial"/>
          <w:sz w:val="20"/>
          <w:szCs w:val="20"/>
        </w:rPr>
      </w:pPr>
      <w:r w:rsidRPr="00F013C0">
        <w:rPr>
          <w:rFonts w:ascii="Arial Narrow" w:hAnsi="Arial Narrow" w:cs="Arial"/>
          <w:sz w:val="20"/>
          <w:szCs w:val="20"/>
        </w:rPr>
        <w:t>Revisó:</w:t>
      </w:r>
      <w:r w:rsidRPr="00F013C0">
        <w:rPr>
          <w:rFonts w:ascii="Arial Narrow" w:hAnsi="Arial Narrow" w:cs="Arial"/>
          <w:sz w:val="20"/>
          <w:szCs w:val="20"/>
        </w:rPr>
        <w:tab/>
        <w:t>Luis Leonardo Minguí Rojas</w:t>
      </w:r>
    </w:p>
    <w:sectPr w:rsidR="00946CAD" w:rsidRPr="00F013C0" w:rsidSect="0066457D">
      <w:headerReference w:type="default" r:id="rId7"/>
      <w:footerReference w:type="default" r:id="rId8"/>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F4" w:rsidRDefault="00B777F4" w:rsidP="001C31D5">
      <w:r>
        <w:separator/>
      </w:r>
    </w:p>
  </w:endnote>
  <w:endnote w:type="continuationSeparator" w:id="0">
    <w:p w:rsidR="00B777F4" w:rsidRDefault="00B777F4" w:rsidP="001C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szCs w:val="16"/>
      </w:rPr>
      <w:id w:val="-361285649"/>
      <w:docPartObj>
        <w:docPartGallery w:val="Page Numbers (Bottom of Page)"/>
        <w:docPartUnique/>
      </w:docPartObj>
    </w:sdtPr>
    <w:sdtEndPr/>
    <w:sdtContent>
      <w:sdt>
        <w:sdtPr>
          <w:rPr>
            <w:rFonts w:ascii="Arial Narrow" w:hAnsi="Arial Narrow"/>
            <w:sz w:val="16"/>
            <w:szCs w:val="16"/>
          </w:rPr>
          <w:id w:val="-1669238322"/>
          <w:docPartObj>
            <w:docPartGallery w:val="Page Numbers (Top of Page)"/>
            <w:docPartUnique/>
          </w:docPartObj>
        </w:sdtPr>
        <w:sdtEndPr/>
        <w:sdtContent>
          <w:p w:rsidR="00CB061F" w:rsidRDefault="00CB061F" w:rsidP="00CB061F">
            <w:pPr>
              <w:pStyle w:val="Piedepgina"/>
              <w:rPr>
                <w:rFonts w:ascii="Arial Narrow" w:hAnsi="Arial Narrow"/>
                <w:sz w:val="16"/>
                <w:szCs w:val="16"/>
              </w:rPr>
            </w:pPr>
          </w:p>
          <w:p w:rsidR="00CB061F" w:rsidRDefault="00CB061F" w:rsidP="00CB061F">
            <w:pPr>
              <w:pStyle w:val="Piedepgina"/>
              <w:rPr>
                <w:rFonts w:ascii="Arial Narrow" w:hAnsi="Arial Narrow"/>
                <w:bCs/>
                <w:sz w:val="16"/>
                <w:szCs w:val="16"/>
              </w:rPr>
            </w:pPr>
            <w:r>
              <w:rPr>
                <w:rFonts w:ascii="Arial Narrow" w:hAnsi="Arial Narrow"/>
                <w:noProof/>
                <w:sz w:val="16"/>
                <w:szCs w:val="16"/>
              </w:rPr>
              <w:drawing>
                <wp:inline distT="0" distB="0" distL="0" distR="0" wp14:anchorId="7C5CFA44" wp14:editId="15F9EADB">
                  <wp:extent cx="930303" cy="309399"/>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S_actualizado.png"/>
                          <pic:cNvPicPr/>
                        </pic:nvPicPr>
                        <pic:blipFill>
                          <a:blip r:embed="rId1">
                            <a:extLst>
                              <a:ext uri="{28A0092B-C50C-407E-A947-70E740481C1C}">
                                <a14:useLocalDpi xmlns:a14="http://schemas.microsoft.com/office/drawing/2010/main" val="0"/>
                              </a:ext>
                            </a:extLst>
                          </a:blip>
                          <a:stretch>
                            <a:fillRect/>
                          </a:stretch>
                        </pic:blipFill>
                        <pic:spPr>
                          <a:xfrm>
                            <a:off x="0" y="0"/>
                            <a:ext cx="946960" cy="314939"/>
                          </a:xfrm>
                          <a:prstGeom prst="rect">
                            <a:avLst/>
                          </a:prstGeom>
                        </pic:spPr>
                      </pic:pic>
                    </a:graphicData>
                  </a:graphic>
                </wp:inline>
              </w:drawing>
            </w:r>
            <w:r>
              <w:rPr>
                <w:rFonts w:ascii="Arial Narrow" w:hAnsi="Arial Narrow"/>
                <w:sz w:val="16"/>
                <w:szCs w:val="16"/>
              </w:rPr>
              <w:tab/>
            </w:r>
            <w:r w:rsidRPr="00374DDE">
              <w:rPr>
                <w:rFonts w:ascii="Arial Narrow" w:hAnsi="Arial Narrow"/>
                <w:sz w:val="16"/>
                <w:szCs w:val="16"/>
                <w:lang w:val="es-ES"/>
              </w:rPr>
              <w:t xml:space="preserve">Página </w:t>
            </w:r>
            <w:r w:rsidRPr="00374DDE">
              <w:rPr>
                <w:rFonts w:ascii="Arial Narrow" w:hAnsi="Arial Narrow"/>
                <w:bCs/>
                <w:sz w:val="16"/>
                <w:szCs w:val="16"/>
              </w:rPr>
              <w:fldChar w:fldCharType="begin"/>
            </w:r>
            <w:r w:rsidRPr="00374DDE">
              <w:rPr>
                <w:rFonts w:ascii="Arial Narrow" w:hAnsi="Arial Narrow"/>
                <w:bCs/>
                <w:sz w:val="16"/>
                <w:szCs w:val="16"/>
              </w:rPr>
              <w:instrText>PAGE</w:instrText>
            </w:r>
            <w:r w:rsidRPr="00374DDE">
              <w:rPr>
                <w:rFonts w:ascii="Arial Narrow" w:hAnsi="Arial Narrow"/>
                <w:bCs/>
                <w:sz w:val="16"/>
                <w:szCs w:val="16"/>
              </w:rPr>
              <w:fldChar w:fldCharType="separate"/>
            </w:r>
            <w:r w:rsidR="007E3302">
              <w:rPr>
                <w:rFonts w:ascii="Arial Narrow" w:hAnsi="Arial Narrow"/>
                <w:bCs/>
                <w:noProof/>
                <w:sz w:val="16"/>
                <w:szCs w:val="16"/>
              </w:rPr>
              <w:t>1</w:t>
            </w:r>
            <w:r w:rsidRPr="00374DDE">
              <w:rPr>
                <w:rFonts w:ascii="Arial Narrow" w:hAnsi="Arial Narrow"/>
                <w:bCs/>
                <w:sz w:val="16"/>
                <w:szCs w:val="16"/>
              </w:rPr>
              <w:fldChar w:fldCharType="end"/>
            </w:r>
            <w:r w:rsidRPr="00374DDE">
              <w:rPr>
                <w:rFonts w:ascii="Arial Narrow" w:hAnsi="Arial Narrow"/>
                <w:sz w:val="16"/>
                <w:szCs w:val="16"/>
                <w:lang w:val="es-ES"/>
              </w:rPr>
              <w:t xml:space="preserve"> de </w:t>
            </w:r>
            <w:r w:rsidRPr="00374DDE">
              <w:rPr>
                <w:rFonts w:ascii="Arial Narrow" w:hAnsi="Arial Narrow"/>
                <w:bCs/>
                <w:sz w:val="16"/>
                <w:szCs w:val="16"/>
              </w:rPr>
              <w:fldChar w:fldCharType="begin"/>
            </w:r>
            <w:r w:rsidRPr="00374DDE">
              <w:rPr>
                <w:rFonts w:ascii="Arial Narrow" w:hAnsi="Arial Narrow"/>
                <w:bCs/>
                <w:sz w:val="16"/>
                <w:szCs w:val="16"/>
              </w:rPr>
              <w:instrText>NUMPAGES</w:instrText>
            </w:r>
            <w:r w:rsidRPr="00374DDE">
              <w:rPr>
                <w:rFonts w:ascii="Arial Narrow" w:hAnsi="Arial Narrow"/>
                <w:bCs/>
                <w:sz w:val="16"/>
                <w:szCs w:val="16"/>
              </w:rPr>
              <w:fldChar w:fldCharType="separate"/>
            </w:r>
            <w:r w:rsidR="007E3302">
              <w:rPr>
                <w:rFonts w:ascii="Arial Narrow" w:hAnsi="Arial Narrow"/>
                <w:bCs/>
                <w:noProof/>
                <w:sz w:val="16"/>
                <w:szCs w:val="16"/>
              </w:rPr>
              <w:t>4</w:t>
            </w:r>
            <w:r w:rsidRPr="00374DDE">
              <w:rPr>
                <w:rFonts w:ascii="Arial Narrow" w:hAnsi="Arial Narrow"/>
                <w:bCs/>
                <w:sz w:val="16"/>
                <w:szCs w:val="16"/>
              </w:rPr>
              <w:fldChar w:fldCharType="end"/>
            </w:r>
            <w:r>
              <w:rPr>
                <w:rFonts w:ascii="Arial Narrow" w:hAnsi="Arial Narrow"/>
                <w:bCs/>
                <w:sz w:val="16"/>
                <w:szCs w:val="16"/>
              </w:rPr>
              <w:tab/>
            </w:r>
            <w:r w:rsidR="00266AB4">
              <w:rPr>
                <w:rFonts w:ascii="Arial Narrow" w:hAnsi="Arial Narrow"/>
                <w:bCs/>
                <w:sz w:val="16"/>
                <w:szCs w:val="16"/>
              </w:rPr>
              <w:t>GJU</w:t>
            </w:r>
            <w:r>
              <w:rPr>
                <w:rFonts w:ascii="Arial Narrow" w:hAnsi="Arial Narrow"/>
                <w:bCs/>
                <w:sz w:val="16"/>
                <w:szCs w:val="16"/>
              </w:rPr>
              <w:t>-TIC-FM-010</w:t>
            </w:r>
          </w:p>
          <w:p w:rsidR="00CB061F" w:rsidRPr="00374DDE" w:rsidRDefault="00CB061F" w:rsidP="00CB061F">
            <w:pPr>
              <w:pStyle w:val="Piedepgina"/>
              <w:rPr>
                <w:rFonts w:ascii="Arial Narrow" w:hAnsi="Arial Narrow"/>
                <w:sz w:val="16"/>
                <w:szCs w:val="16"/>
              </w:rPr>
            </w:pPr>
            <w:r>
              <w:rPr>
                <w:rFonts w:ascii="Arial Narrow" w:hAnsi="Arial Narrow"/>
                <w:bCs/>
                <w:sz w:val="16"/>
                <w:szCs w:val="16"/>
              </w:rPr>
              <w:tab/>
            </w:r>
            <w:r>
              <w:rPr>
                <w:rFonts w:ascii="Arial Narrow" w:hAnsi="Arial Narrow"/>
                <w:bCs/>
                <w:sz w:val="16"/>
                <w:szCs w:val="16"/>
              </w:rPr>
              <w:tab/>
              <w:t>V 1.0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F4" w:rsidRDefault="00B777F4" w:rsidP="001C31D5">
      <w:r>
        <w:separator/>
      </w:r>
    </w:p>
  </w:footnote>
  <w:footnote w:type="continuationSeparator" w:id="0">
    <w:p w:rsidR="00B777F4" w:rsidRDefault="00B777F4" w:rsidP="001C3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61" w:type="pct"/>
      <w:jc w:val="center"/>
      <w:tblBorders>
        <w:insideH w:val="single" w:sz="4" w:space="0" w:color="auto"/>
      </w:tblBorders>
      <w:tblLook w:val="01E0" w:firstRow="1" w:lastRow="1" w:firstColumn="1" w:lastColumn="1" w:noHBand="0" w:noVBand="0"/>
    </w:tblPr>
    <w:tblGrid>
      <w:gridCol w:w="10259"/>
    </w:tblGrid>
    <w:tr w:rsidR="001F260D" w:rsidRPr="00384075" w:rsidTr="001F260D">
      <w:trPr>
        <w:trHeight w:val="565"/>
        <w:jc w:val="center"/>
      </w:trPr>
      <w:tc>
        <w:tcPr>
          <w:tcW w:w="9889" w:type="dxa"/>
          <w:vAlign w:val="center"/>
        </w:tcPr>
        <w:p w:rsidR="001F260D" w:rsidRPr="00384075" w:rsidRDefault="001F260D" w:rsidP="00480F99">
          <w:pPr>
            <w:pStyle w:val="Estilo2"/>
            <w:numPr>
              <w:ilvl w:val="0"/>
              <w:numId w:val="0"/>
            </w:numPr>
            <w:ind w:left="792" w:hanging="432"/>
            <w:rPr>
              <w:rFonts w:ascii="Arial" w:hAnsi="Arial" w:cs="Arial"/>
              <w:sz w:val="20"/>
              <w:szCs w:val="20"/>
            </w:rPr>
          </w:pPr>
        </w:p>
        <w:tbl>
          <w:tblPr>
            <w:tblStyle w:val="Tablaconcuadrcula"/>
            <w:tblW w:w="10033" w:type="dxa"/>
            <w:tblLook w:val="04A0" w:firstRow="1" w:lastRow="0" w:firstColumn="1" w:lastColumn="0" w:noHBand="0" w:noVBand="1"/>
          </w:tblPr>
          <w:tblGrid>
            <w:gridCol w:w="2183"/>
            <w:gridCol w:w="6264"/>
            <w:gridCol w:w="1586"/>
          </w:tblGrid>
          <w:tr w:rsidR="00282E9D" w:rsidTr="00480F99">
            <w:trPr>
              <w:trHeight w:val="1176"/>
            </w:trPr>
            <w:tc>
              <w:tcPr>
                <w:tcW w:w="2183" w:type="dxa"/>
                <w:vAlign w:val="center"/>
              </w:tcPr>
              <w:p w:rsidR="00282E9D" w:rsidRDefault="00282E9D" w:rsidP="00282E9D">
                <w:pPr>
                  <w:pStyle w:val="Encabezado"/>
                  <w:jc w:val="center"/>
                </w:pPr>
                <w:r>
                  <w:rPr>
                    <w:noProof/>
                    <w:lang w:val="es-CO" w:eastAsia="es-CO"/>
                  </w:rPr>
                  <w:drawing>
                    <wp:inline distT="0" distB="0" distL="0" distR="0" wp14:anchorId="7D335658" wp14:editId="35847597">
                      <wp:extent cx="1249486" cy="280491"/>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abezado MinTIC.png"/>
                              <pic:cNvPicPr/>
                            </pic:nvPicPr>
                            <pic:blipFill>
                              <a:blip r:embed="rId1">
                                <a:extLst>
                                  <a:ext uri="{28A0092B-C50C-407E-A947-70E740481C1C}">
                                    <a14:useLocalDpi xmlns:a14="http://schemas.microsoft.com/office/drawing/2010/main" val="0"/>
                                  </a:ext>
                                </a:extLst>
                              </a:blip>
                              <a:stretch>
                                <a:fillRect/>
                              </a:stretch>
                            </pic:blipFill>
                            <pic:spPr>
                              <a:xfrm>
                                <a:off x="0" y="0"/>
                                <a:ext cx="1314447" cy="295074"/>
                              </a:xfrm>
                              <a:prstGeom prst="rect">
                                <a:avLst/>
                              </a:prstGeom>
                            </pic:spPr>
                          </pic:pic>
                        </a:graphicData>
                      </a:graphic>
                    </wp:inline>
                  </w:drawing>
                </w:r>
              </w:p>
            </w:tc>
            <w:tc>
              <w:tcPr>
                <w:tcW w:w="6264" w:type="dxa"/>
                <w:vAlign w:val="center"/>
              </w:tcPr>
              <w:p w:rsidR="00282E9D" w:rsidRPr="00B924CA" w:rsidRDefault="00664D82" w:rsidP="00282E9D">
                <w:pPr>
                  <w:jc w:val="center"/>
                  <w:rPr>
                    <w:rFonts w:ascii="Arial Narrow" w:hAnsi="Arial Narrow"/>
                  </w:rPr>
                </w:pPr>
                <w:r>
                  <w:rPr>
                    <w:rFonts w:ascii="Arial Narrow" w:hAnsi="Arial Narrow"/>
                  </w:rPr>
                  <w:t>SOPORTE TÉCNICO</w:t>
                </w:r>
              </w:p>
            </w:tc>
            <w:tc>
              <w:tcPr>
                <w:tcW w:w="1586" w:type="dxa"/>
                <w:vAlign w:val="center"/>
              </w:tcPr>
              <w:p w:rsidR="00282E9D" w:rsidRDefault="00282E9D" w:rsidP="00282E9D">
                <w:pPr>
                  <w:pStyle w:val="Encabezado"/>
                  <w:jc w:val="center"/>
                </w:pPr>
              </w:p>
            </w:tc>
          </w:tr>
        </w:tbl>
        <w:p w:rsidR="001F260D" w:rsidRPr="00384075" w:rsidRDefault="001F260D" w:rsidP="009320D2">
          <w:pPr>
            <w:pStyle w:val="Estilo2"/>
            <w:numPr>
              <w:ilvl w:val="0"/>
              <w:numId w:val="0"/>
            </w:numPr>
            <w:ind w:left="360"/>
            <w:jc w:val="right"/>
            <w:rPr>
              <w:rFonts w:ascii="Arial" w:hAnsi="Arial" w:cs="Arial"/>
            </w:rPr>
          </w:pPr>
        </w:p>
      </w:tc>
    </w:tr>
  </w:tbl>
  <w:p w:rsidR="00BD6A64" w:rsidRPr="00874DE8" w:rsidRDefault="00BD6A64" w:rsidP="00874DE8">
    <w:pPr>
      <w:pStyle w:val="Encabezado"/>
      <w:jc w:val="right"/>
      <w:rPr>
        <w:rFonts w:ascii="Arial Narrow" w:hAnsi="Arial Narrow"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E84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B35C5"/>
    <w:multiLevelType w:val="hybridMultilevel"/>
    <w:tmpl w:val="12B2A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FA6765"/>
    <w:multiLevelType w:val="hybridMultilevel"/>
    <w:tmpl w:val="8534AE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FA3500"/>
    <w:multiLevelType w:val="hybridMultilevel"/>
    <w:tmpl w:val="E4622F2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C0D64D7"/>
    <w:multiLevelType w:val="hybridMultilevel"/>
    <w:tmpl w:val="022839B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AFC41CC"/>
    <w:multiLevelType w:val="hybridMultilevel"/>
    <w:tmpl w:val="DA40505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B825C96"/>
    <w:multiLevelType w:val="multilevel"/>
    <w:tmpl w:val="0C0A001F"/>
    <w:styleLink w:val="Estilo1"/>
    <w:lvl w:ilvl="0">
      <w:start w:val="1"/>
      <w:numFmt w:val="decimal"/>
      <w:pStyle w:val="Estilo1CarCarCar"/>
      <w:lvlText w:val="%1."/>
      <w:lvlJc w:val="left"/>
      <w:pPr>
        <w:tabs>
          <w:tab w:val="num" w:pos="360"/>
        </w:tabs>
        <w:ind w:left="360" w:hanging="360"/>
      </w:pPr>
    </w:lvl>
    <w:lvl w:ilvl="1">
      <w:start w:val="1"/>
      <w:numFmt w:val="decimal"/>
      <w:pStyle w:val="Estilo2"/>
      <w:lvlText w:val="%1.%2."/>
      <w:lvlJc w:val="left"/>
      <w:pPr>
        <w:tabs>
          <w:tab w:val="num" w:pos="1080"/>
        </w:tabs>
        <w:ind w:left="792" w:hanging="432"/>
      </w:pPr>
    </w:lvl>
    <w:lvl w:ilvl="2">
      <w:start w:val="1"/>
      <w:numFmt w:val="decimal"/>
      <w:pStyle w:val="Estilo3"/>
      <w:lvlText w:val="%1.%2.%3."/>
      <w:lvlJc w:val="left"/>
      <w:pPr>
        <w:tabs>
          <w:tab w:val="num" w:pos="1800"/>
        </w:tabs>
        <w:ind w:left="1224" w:hanging="504"/>
      </w:pPr>
    </w:lvl>
    <w:lvl w:ilvl="3">
      <w:start w:val="1"/>
      <w:numFmt w:val="decimal"/>
      <w:pStyle w:val="Estilo4"/>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35C927E0"/>
    <w:multiLevelType w:val="hybridMultilevel"/>
    <w:tmpl w:val="0FA6D79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0901E0"/>
    <w:multiLevelType w:val="hybridMultilevel"/>
    <w:tmpl w:val="C4A0C8E4"/>
    <w:lvl w:ilvl="0" w:tplc="0C0A000F">
      <w:start w:val="1"/>
      <w:numFmt w:val="decimal"/>
      <w:lvlText w:val="%1."/>
      <w:lvlJc w:val="left"/>
      <w:pPr>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255A52"/>
    <w:multiLevelType w:val="hybridMultilevel"/>
    <w:tmpl w:val="04DE3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933F2B"/>
    <w:multiLevelType w:val="hybridMultilevel"/>
    <w:tmpl w:val="27B48F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0246DF"/>
    <w:multiLevelType w:val="multilevel"/>
    <w:tmpl w:val="37622B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5C1F3F"/>
    <w:multiLevelType w:val="hybridMultilevel"/>
    <w:tmpl w:val="D292BECA"/>
    <w:lvl w:ilvl="0" w:tplc="040A000F">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3" w15:restartNumberingAfterBreak="0">
    <w:nsid w:val="4D3407B2"/>
    <w:multiLevelType w:val="hybridMultilevel"/>
    <w:tmpl w:val="D1542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E16BAF"/>
    <w:multiLevelType w:val="hybridMultilevel"/>
    <w:tmpl w:val="BDF84570"/>
    <w:lvl w:ilvl="0" w:tplc="0C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E5239F8"/>
    <w:multiLevelType w:val="hybridMultilevel"/>
    <w:tmpl w:val="05366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6A0F74"/>
    <w:multiLevelType w:val="hybridMultilevel"/>
    <w:tmpl w:val="336E8D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B07BA9"/>
    <w:multiLevelType w:val="multilevel"/>
    <w:tmpl w:val="2DDEF61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63516289"/>
    <w:multiLevelType w:val="hybridMultilevel"/>
    <w:tmpl w:val="C5EEE7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7811DB3"/>
    <w:multiLevelType w:val="multilevel"/>
    <w:tmpl w:val="0C0A001F"/>
    <w:numStyleLink w:val="Estilo1"/>
  </w:abstractNum>
  <w:abstractNum w:abstractNumId="20" w15:restartNumberingAfterBreak="0">
    <w:nsid w:val="67A86117"/>
    <w:multiLevelType w:val="multilevel"/>
    <w:tmpl w:val="E7D8E4DC"/>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B154A90"/>
    <w:multiLevelType w:val="hybridMultilevel"/>
    <w:tmpl w:val="06D8D17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1D0E0F"/>
    <w:multiLevelType w:val="hybridMultilevel"/>
    <w:tmpl w:val="9AE0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673DDB"/>
    <w:multiLevelType w:val="hybridMultilevel"/>
    <w:tmpl w:val="97CCDE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BE3377"/>
    <w:multiLevelType w:val="hybridMultilevel"/>
    <w:tmpl w:val="509AA104"/>
    <w:lvl w:ilvl="0" w:tplc="0FA8DC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1D3D6A"/>
    <w:multiLevelType w:val="hybridMultilevel"/>
    <w:tmpl w:val="BB7E63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21"/>
  </w:num>
  <w:num w:numId="5">
    <w:abstractNumId w:val="13"/>
  </w:num>
  <w:num w:numId="6">
    <w:abstractNumId w:val="5"/>
  </w:num>
  <w:num w:numId="7">
    <w:abstractNumId w:val="3"/>
  </w:num>
  <w:num w:numId="8">
    <w:abstractNumId w:val="7"/>
  </w:num>
  <w:num w:numId="9">
    <w:abstractNumId w:val="22"/>
  </w:num>
  <w:num w:numId="10">
    <w:abstractNumId w:val="23"/>
  </w:num>
  <w:num w:numId="11">
    <w:abstractNumId w:val="10"/>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5"/>
  </w:num>
  <w:num w:numId="17">
    <w:abstractNumId w:val="2"/>
  </w:num>
  <w:num w:numId="18">
    <w:abstractNumId w:val="4"/>
  </w:num>
  <w:num w:numId="19">
    <w:abstractNumId w:val="25"/>
  </w:num>
  <w:num w:numId="20">
    <w:abstractNumId w:val="11"/>
  </w:num>
  <w:num w:numId="21">
    <w:abstractNumId w:val="24"/>
  </w:num>
  <w:num w:numId="22">
    <w:abstractNumId w:val="19"/>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080"/>
          </w:tabs>
          <w:ind w:left="792" w:hanging="432"/>
        </w:pPr>
      </w:lvl>
    </w:lvlOverride>
    <w:lvlOverride w:ilvl="2">
      <w:lvl w:ilvl="2">
        <w:start w:val="1"/>
        <w:numFmt w:val="decimal"/>
        <w:lvlText w:val="%1.%2.%3."/>
        <w:lvlJc w:val="left"/>
        <w:pPr>
          <w:tabs>
            <w:tab w:val="num" w:pos="180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600"/>
          </w:tabs>
          <w:ind w:left="2736" w:hanging="936"/>
        </w:pPr>
      </w:lvl>
    </w:lvlOverride>
    <w:lvlOverride w:ilvl="6">
      <w:lvl w:ilvl="6">
        <w:start w:val="1"/>
        <w:numFmt w:val="decimal"/>
        <w:lvlText w:val="%1.%2.%3.%4.%5.%6.%7."/>
        <w:lvlJc w:val="left"/>
        <w:pPr>
          <w:tabs>
            <w:tab w:val="num" w:pos="4320"/>
          </w:tabs>
          <w:ind w:left="3240" w:hanging="1080"/>
        </w:pPr>
      </w:lvl>
    </w:lvlOverride>
    <w:lvlOverride w:ilvl="7">
      <w:lvl w:ilvl="7">
        <w:start w:val="1"/>
        <w:numFmt w:val="decimal"/>
        <w:lvlText w:val="%1.%2.%3.%4.%5.%6.%7.%8."/>
        <w:lvlJc w:val="left"/>
        <w:pPr>
          <w:tabs>
            <w:tab w:val="num" w:pos="4680"/>
          </w:tabs>
          <w:ind w:left="3744" w:hanging="1224"/>
        </w:pPr>
      </w:lvl>
    </w:lvlOverride>
    <w:lvlOverride w:ilvl="8">
      <w:lvl w:ilvl="8">
        <w:start w:val="1"/>
        <w:numFmt w:val="decimal"/>
        <w:lvlText w:val="%1.%2.%3.%4.%5.%6.%7.%8.%9."/>
        <w:lvlJc w:val="left"/>
        <w:pPr>
          <w:tabs>
            <w:tab w:val="num" w:pos="5400"/>
          </w:tabs>
          <w:ind w:left="4320" w:hanging="1440"/>
        </w:pPr>
      </w:lvl>
    </w:lvlOverride>
  </w:num>
  <w:num w:numId="23">
    <w:abstractNumId w:val="6"/>
  </w:num>
  <w:num w:numId="24">
    <w:abstractNumId w:val="17"/>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DB"/>
    <w:rsid w:val="000120CA"/>
    <w:rsid w:val="0001689A"/>
    <w:rsid w:val="00021C86"/>
    <w:rsid w:val="00024ED9"/>
    <w:rsid w:val="000273A7"/>
    <w:rsid w:val="0003154E"/>
    <w:rsid w:val="00032BAD"/>
    <w:rsid w:val="000401A2"/>
    <w:rsid w:val="000427CC"/>
    <w:rsid w:val="0004302A"/>
    <w:rsid w:val="00046747"/>
    <w:rsid w:val="00054427"/>
    <w:rsid w:val="00054784"/>
    <w:rsid w:val="000608B6"/>
    <w:rsid w:val="0006775E"/>
    <w:rsid w:val="00077BE8"/>
    <w:rsid w:val="00080C96"/>
    <w:rsid w:val="0008272E"/>
    <w:rsid w:val="000875DA"/>
    <w:rsid w:val="00092248"/>
    <w:rsid w:val="000A39C2"/>
    <w:rsid w:val="000B6016"/>
    <w:rsid w:val="000B7E58"/>
    <w:rsid w:val="000C0C67"/>
    <w:rsid w:val="000C0EF5"/>
    <w:rsid w:val="000C1429"/>
    <w:rsid w:val="000C5D78"/>
    <w:rsid w:val="000D0767"/>
    <w:rsid w:val="000D0A08"/>
    <w:rsid w:val="000E1562"/>
    <w:rsid w:val="001004BB"/>
    <w:rsid w:val="001015D4"/>
    <w:rsid w:val="001117EE"/>
    <w:rsid w:val="00112DEF"/>
    <w:rsid w:val="00116683"/>
    <w:rsid w:val="00116D73"/>
    <w:rsid w:val="001248E7"/>
    <w:rsid w:val="00127B40"/>
    <w:rsid w:val="00132DB9"/>
    <w:rsid w:val="0013318A"/>
    <w:rsid w:val="00137878"/>
    <w:rsid w:val="00145A25"/>
    <w:rsid w:val="0014615D"/>
    <w:rsid w:val="00153619"/>
    <w:rsid w:val="001549E2"/>
    <w:rsid w:val="00156622"/>
    <w:rsid w:val="0015786D"/>
    <w:rsid w:val="0016385A"/>
    <w:rsid w:val="00166506"/>
    <w:rsid w:val="001735FB"/>
    <w:rsid w:val="00175AB9"/>
    <w:rsid w:val="001901F2"/>
    <w:rsid w:val="00194B79"/>
    <w:rsid w:val="001A20FC"/>
    <w:rsid w:val="001B18A5"/>
    <w:rsid w:val="001C31D5"/>
    <w:rsid w:val="001C3E54"/>
    <w:rsid w:val="001D14B5"/>
    <w:rsid w:val="001D63D4"/>
    <w:rsid w:val="001D6A5B"/>
    <w:rsid w:val="001D7E05"/>
    <w:rsid w:val="001E42C9"/>
    <w:rsid w:val="001E65DF"/>
    <w:rsid w:val="001F1161"/>
    <w:rsid w:val="001F260D"/>
    <w:rsid w:val="001F62F8"/>
    <w:rsid w:val="001F6AE2"/>
    <w:rsid w:val="00204A22"/>
    <w:rsid w:val="002050FD"/>
    <w:rsid w:val="00205B64"/>
    <w:rsid w:val="0021268B"/>
    <w:rsid w:val="002137A2"/>
    <w:rsid w:val="00214BE5"/>
    <w:rsid w:val="0021700F"/>
    <w:rsid w:val="002213F4"/>
    <w:rsid w:val="00233523"/>
    <w:rsid w:val="00241307"/>
    <w:rsid w:val="002414CE"/>
    <w:rsid w:val="00245AEA"/>
    <w:rsid w:val="00252479"/>
    <w:rsid w:val="00254FA4"/>
    <w:rsid w:val="0026691C"/>
    <w:rsid w:val="00266AB4"/>
    <w:rsid w:val="00272BD8"/>
    <w:rsid w:val="00272C4E"/>
    <w:rsid w:val="00277582"/>
    <w:rsid w:val="00282E9D"/>
    <w:rsid w:val="00286F9D"/>
    <w:rsid w:val="00292AC1"/>
    <w:rsid w:val="002A6A0A"/>
    <w:rsid w:val="002B1B17"/>
    <w:rsid w:val="002B7BA9"/>
    <w:rsid w:val="002C2C61"/>
    <w:rsid w:val="002C574A"/>
    <w:rsid w:val="002D0A21"/>
    <w:rsid w:val="002D11F5"/>
    <w:rsid w:val="002D434B"/>
    <w:rsid w:val="002D4F57"/>
    <w:rsid w:val="002E02E0"/>
    <w:rsid w:val="002E2C6B"/>
    <w:rsid w:val="002F0317"/>
    <w:rsid w:val="002F16F3"/>
    <w:rsid w:val="002F356D"/>
    <w:rsid w:val="002F3F00"/>
    <w:rsid w:val="002F445E"/>
    <w:rsid w:val="002F4CA2"/>
    <w:rsid w:val="002F602A"/>
    <w:rsid w:val="003002ED"/>
    <w:rsid w:val="003011F0"/>
    <w:rsid w:val="003079F5"/>
    <w:rsid w:val="0031247B"/>
    <w:rsid w:val="00312ED5"/>
    <w:rsid w:val="003130CD"/>
    <w:rsid w:val="0033101C"/>
    <w:rsid w:val="00332B5B"/>
    <w:rsid w:val="0033635F"/>
    <w:rsid w:val="00336A51"/>
    <w:rsid w:val="0034181D"/>
    <w:rsid w:val="003428A6"/>
    <w:rsid w:val="00350A0A"/>
    <w:rsid w:val="00350EDB"/>
    <w:rsid w:val="00351B59"/>
    <w:rsid w:val="00354B2A"/>
    <w:rsid w:val="00355222"/>
    <w:rsid w:val="00355D96"/>
    <w:rsid w:val="00357E04"/>
    <w:rsid w:val="003673D7"/>
    <w:rsid w:val="0037212B"/>
    <w:rsid w:val="00377C20"/>
    <w:rsid w:val="00383A23"/>
    <w:rsid w:val="00384419"/>
    <w:rsid w:val="00384E98"/>
    <w:rsid w:val="00394F85"/>
    <w:rsid w:val="003A119D"/>
    <w:rsid w:val="003A6123"/>
    <w:rsid w:val="003A783B"/>
    <w:rsid w:val="003B1858"/>
    <w:rsid w:val="003B1C85"/>
    <w:rsid w:val="003B789C"/>
    <w:rsid w:val="003C1521"/>
    <w:rsid w:val="003C1C7E"/>
    <w:rsid w:val="003C2C17"/>
    <w:rsid w:val="003D1A66"/>
    <w:rsid w:val="003D45A4"/>
    <w:rsid w:val="003D50ED"/>
    <w:rsid w:val="003E79D4"/>
    <w:rsid w:val="003F264E"/>
    <w:rsid w:val="003F7C31"/>
    <w:rsid w:val="00401BA5"/>
    <w:rsid w:val="00405AB0"/>
    <w:rsid w:val="004125D5"/>
    <w:rsid w:val="004156EA"/>
    <w:rsid w:val="004168B7"/>
    <w:rsid w:val="004207CA"/>
    <w:rsid w:val="00422BC6"/>
    <w:rsid w:val="00427037"/>
    <w:rsid w:val="00427F4B"/>
    <w:rsid w:val="00430770"/>
    <w:rsid w:val="00431C52"/>
    <w:rsid w:val="004352FB"/>
    <w:rsid w:val="00440ADD"/>
    <w:rsid w:val="00452299"/>
    <w:rsid w:val="0045740E"/>
    <w:rsid w:val="00461A98"/>
    <w:rsid w:val="00466896"/>
    <w:rsid w:val="0047246C"/>
    <w:rsid w:val="0047247E"/>
    <w:rsid w:val="00480F99"/>
    <w:rsid w:val="004821B1"/>
    <w:rsid w:val="004845E7"/>
    <w:rsid w:val="00484BE0"/>
    <w:rsid w:val="0048716A"/>
    <w:rsid w:val="0048734C"/>
    <w:rsid w:val="00491171"/>
    <w:rsid w:val="004958F3"/>
    <w:rsid w:val="004A3A98"/>
    <w:rsid w:val="004B7188"/>
    <w:rsid w:val="004C6AD7"/>
    <w:rsid w:val="004C6F8E"/>
    <w:rsid w:val="004D058F"/>
    <w:rsid w:val="004D188F"/>
    <w:rsid w:val="004F00EB"/>
    <w:rsid w:val="004F02E8"/>
    <w:rsid w:val="004F37DF"/>
    <w:rsid w:val="004F682A"/>
    <w:rsid w:val="004F6933"/>
    <w:rsid w:val="0050295C"/>
    <w:rsid w:val="005071A1"/>
    <w:rsid w:val="0051216F"/>
    <w:rsid w:val="00513E59"/>
    <w:rsid w:val="00522088"/>
    <w:rsid w:val="00530D64"/>
    <w:rsid w:val="00535C61"/>
    <w:rsid w:val="00541183"/>
    <w:rsid w:val="00543916"/>
    <w:rsid w:val="005451D9"/>
    <w:rsid w:val="00551441"/>
    <w:rsid w:val="00554CD6"/>
    <w:rsid w:val="00557059"/>
    <w:rsid w:val="00566B9B"/>
    <w:rsid w:val="00576987"/>
    <w:rsid w:val="00584CD6"/>
    <w:rsid w:val="00586A38"/>
    <w:rsid w:val="00586AEE"/>
    <w:rsid w:val="00587986"/>
    <w:rsid w:val="005907E1"/>
    <w:rsid w:val="005A0564"/>
    <w:rsid w:val="005A5AA2"/>
    <w:rsid w:val="005A7198"/>
    <w:rsid w:val="005B40B4"/>
    <w:rsid w:val="005B4E24"/>
    <w:rsid w:val="005B58E8"/>
    <w:rsid w:val="005C3D27"/>
    <w:rsid w:val="005D3812"/>
    <w:rsid w:val="005D5E92"/>
    <w:rsid w:val="005D73E9"/>
    <w:rsid w:val="005D7583"/>
    <w:rsid w:val="005E7E92"/>
    <w:rsid w:val="005F4585"/>
    <w:rsid w:val="005F664A"/>
    <w:rsid w:val="00603DAC"/>
    <w:rsid w:val="0060574A"/>
    <w:rsid w:val="00606AFC"/>
    <w:rsid w:val="00617035"/>
    <w:rsid w:val="006175D6"/>
    <w:rsid w:val="0062039D"/>
    <w:rsid w:val="00622458"/>
    <w:rsid w:val="00623B59"/>
    <w:rsid w:val="006242F0"/>
    <w:rsid w:val="0062725F"/>
    <w:rsid w:val="00636977"/>
    <w:rsid w:val="00642F9D"/>
    <w:rsid w:val="00644E72"/>
    <w:rsid w:val="006469F4"/>
    <w:rsid w:val="00651F29"/>
    <w:rsid w:val="00655062"/>
    <w:rsid w:val="00655832"/>
    <w:rsid w:val="006624C8"/>
    <w:rsid w:val="00663146"/>
    <w:rsid w:val="0066457D"/>
    <w:rsid w:val="00664D82"/>
    <w:rsid w:val="00670708"/>
    <w:rsid w:val="0067306E"/>
    <w:rsid w:val="00675784"/>
    <w:rsid w:val="00683228"/>
    <w:rsid w:val="006837FA"/>
    <w:rsid w:val="00690391"/>
    <w:rsid w:val="0069489B"/>
    <w:rsid w:val="00697AA7"/>
    <w:rsid w:val="006A2956"/>
    <w:rsid w:val="006A5ACB"/>
    <w:rsid w:val="006A7EFA"/>
    <w:rsid w:val="006B2DE7"/>
    <w:rsid w:val="006B4EE7"/>
    <w:rsid w:val="006B74B3"/>
    <w:rsid w:val="006C0EF2"/>
    <w:rsid w:val="006D0894"/>
    <w:rsid w:val="006D134A"/>
    <w:rsid w:val="006D159D"/>
    <w:rsid w:val="006D1D8D"/>
    <w:rsid w:val="006F1D50"/>
    <w:rsid w:val="006F25FC"/>
    <w:rsid w:val="00705A02"/>
    <w:rsid w:val="007060CF"/>
    <w:rsid w:val="00723936"/>
    <w:rsid w:val="00726CF3"/>
    <w:rsid w:val="007318F3"/>
    <w:rsid w:val="0074092B"/>
    <w:rsid w:val="00741CAA"/>
    <w:rsid w:val="00744882"/>
    <w:rsid w:val="0074671A"/>
    <w:rsid w:val="0074690B"/>
    <w:rsid w:val="00747206"/>
    <w:rsid w:val="00762043"/>
    <w:rsid w:val="00762E92"/>
    <w:rsid w:val="007650C4"/>
    <w:rsid w:val="00780350"/>
    <w:rsid w:val="007828D9"/>
    <w:rsid w:val="007833BA"/>
    <w:rsid w:val="007844D4"/>
    <w:rsid w:val="00794273"/>
    <w:rsid w:val="007A30D7"/>
    <w:rsid w:val="007A550B"/>
    <w:rsid w:val="007A6819"/>
    <w:rsid w:val="007B07D3"/>
    <w:rsid w:val="007B44E6"/>
    <w:rsid w:val="007B5737"/>
    <w:rsid w:val="007B6B07"/>
    <w:rsid w:val="007D3C2F"/>
    <w:rsid w:val="007D50F2"/>
    <w:rsid w:val="007E3302"/>
    <w:rsid w:val="007E5F98"/>
    <w:rsid w:val="007E6370"/>
    <w:rsid w:val="007F535C"/>
    <w:rsid w:val="008014A7"/>
    <w:rsid w:val="008053BB"/>
    <w:rsid w:val="008064B1"/>
    <w:rsid w:val="00813742"/>
    <w:rsid w:val="00816419"/>
    <w:rsid w:val="00821CFA"/>
    <w:rsid w:val="008221E4"/>
    <w:rsid w:val="00833FCC"/>
    <w:rsid w:val="00841BBA"/>
    <w:rsid w:val="00846F21"/>
    <w:rsid w:val="0085318E"/>
    <w:rsid w:val="00857B6D"/>
    <w:rsid w:val="008678F9"/>
    <w:rsid w:val="00874071"/>
    <w:rsid w:val="00874DE8"/>
    <w:rsid w:val="008833CB"/>
    <w:rsid w:val="00890CC3"/>
    <w:rsid w:val="008938CD"/>
    <w:rsid w:val="008A2F81"/>
    <w:rsid w:val="008A640D"/>
    <w:rsid w:val="008B351D"/>
    <w:rsid w:val="008B47C7"/>
    <w:rsid w:val="008C63C3"/>
    <w:rsid w:val="008C7913"/>
    <w:rsid w:val="008D332C"/>
    <w:rsid w:val="008D5401"/>
    <w:rsid w:val="008E4343"/>
    <w:rsid w:val="008E4404"/>
    <w:rsid w:val="008E463A"/>
    <w:rsid w:val="008E53D8"/>
    <w:rsid w:val="008E63C7"/>
    <w:rsid w:val="008F44B3"/>
    <w:rsid w:val="008F47EC"/>
    <w:rsid w:val="009072D1"/>
    <w:rsid w:val="00907FE8"/>
    <w:rsid w:val="00912F39"/>
    <w:rsid w:val="00916E2B"/>
    <w:rsid w:val="00925707"/>
    <w:rsid w:val="0092721C"/>
    <w:rsid w:val="00927920"/>
    <w:rsid w:val="009320D2"/>
    <w:rsid w:val="00935D5B"/>
    <w:rsid w:val="00940CB0"/>
    <w:rsid w:val="00942F6C"/>
    <w:rsid w:val="00946CAD"/>
    <w:rsid w:val="00963170"/>
    <w:rsid w:val="0096517E"/>
    <w:rsid w:val="00975F46"/>
    <w:rsid w:val="00980FF9"/>
    <w:rsid w:val="009850CE"/>
    <w:rsid w:val="009853C4"/>
    <w:rsid w:val="009868AB"/>
    <w:rsid w:val="009965B8"/>
    <w:rsid w:val="009A27F7"/>
    <w:rsid w:val="009A4300"/>
    <w:rsid w:val="009A501B"/>
    <w:rsid w:val="009A7A29"/>
    <w:rsid w:val="009B1537"/>
    <w:rsid w:val="009B2738"/>
    <w:rsid w:val="009B3501"/>
    <w:rsid w:val="009B3539"/>
    <w:rsid w:val="009B4162"/>
    <w:rsid w:val="009C0D0B"/>
    <w:rsid w:val="009C121F"/>
    <w:rsid w:val="009D1616"/>
    <w:rsid w:val="009D7CC2"/>
    <w:rsid w:val="009E4F5E"/>
    <w:rsid w:val="009F1799"/>
    <w:rsid w:val="009F3BCA"/>
    <w:rsid w:val="009F47D9"/>
    <w:rsid w:val="009F51E5"/>
    <w:rsid w:val="00A0412A"/>
    <w:rsid w:val="00A101E4"/>
    <w:rsid w:val="00A16CAA"/>
    <w:rsid w:val="00A231F9"/>
    <w:rsid w:val="00A32DCD"/>
    <w:rsid w:val="00A3369E"/>
    <w:rsid w:val="00A37F21"/>
    <w:rsid w:val="00A54D45"/>
    <w:rsid w:val="00A56858"/>
    <w:rsid w:val="00A60FF8"/>
    <w:rsid w:val="00A61292"/>
    <w:rsid w:val="00A70B13"/>
    <w:rsid w:val="00A720A4"/>
    <w:rsid w:val="00A819EC"/>
    <w:rsid w:val="00A90069"/>
    <w:rsid w:val="00A90D93"/>
    <w:rsid w:val="00A967FD"/>
    <w:rsid w:val="00AB032F"/>
    <w:rsid w:val="00AB1F9F"/>
    <w:rsid w:val="00AB4E17"/>
    <w:rsid w:val="00AB6CC2"/>
    <w:rsid w:val="00AB7A93"/>
    <w:rsid w:val="00AD4282"/>
    <w:rsid w:val="00AE0B9D"/>
    <w:rsid w:val="00AE3C74"/>
    <w:rsid w:val="00AF0356"/>
    <w:rsid w:val="00AF254C"/>
    <w:rsid w:val="00AF3EB6"/>
    <w:rsid w:val="00B01E85"/>
    <w:rsid w:val="00B02F5A"/>
    <w:rsid w:val="00B04D6A"/>
    <w:rsid w:val="00B11AC7"/>
    <w:rsid w:val="00B11DBD"/>
    <w:rsid w:val="00B16DC4"/>
    <w:rsid w:val="00B1763D"/>
    <w:rsid w:val="00B17B94"/>
    <w:rsid w:val="00B24F3F"/>
    <w:rsid w:val="00B26B5A"/>
    <w:rsid w:val="00B2721C"/>
    <w:rsid w:val="00B34B70"/>
    <w:rsid w:val="00B443C1"/>
    <w:rsid w:val="00B51CD1"/>
    <w:rsid w:val="00B5450E"/>
    <w:rsid w:val="00B545E6"/>
    <w:rsid w:val="00B55046"/>
    <w:rsid w:val="00B70E32"/>
    <w:rsid w:val="00B777F4"/>
    <w:rsid w:val="00B77C20"/>
    <w:rsid w:val="00B84D08"/>
    <w:rsid w:val="00B913AA"/>
    <w:rsid w:val="00B932E5"/>
    <w:rsid w:val="00B94214"/>
    <w:rsid w:val="00B949D4"/>
    <w:rsid w:val="00BA1758"/>
    <w:rsid w:val="00BA5A9E"/>
    <w:rsid w:val="00BA66AC"/>
    <w:rsid w:val="00BA7D5D"/>
    <w:rsid w:val="00BB0356"/>
    <w:rsid w:val="00BB0787"/>
    <w:rsid w:val="00BB383E"/>
    <w:rsid w:val="00BB4F34"/>
    <w:rsid w:val="00BB5C0C"/>
    <w:rsid w:val="00BC725D"/>
    <w:rsid w:val="00BD0233"/>
    <w:rsid w:val="00BD0294"/>
    <w:rsid w:val="00BD3D67"/>
    <w:rsid w:val="00BD6A64"/>
    <w:rsid w:val="00BE3B65"/>
    <w:rsid w:val="00BF4F29"/>
    <w:rsid w:val="00BF59C1"/>
    <w:rsid w:val="00BF6057"/>
    <w:rsid w:val="00C00287"/>
    <w:rsid w:val="00C01927"/>
    <w:rsid w:val="00C02FCB"/>
    <w:rsid w:val="00C03D15"/>
    <w:rsid w:val="00C119D0"/>
    <w:rsid w:val="00C14381"/>
    <w:rsid w:val="00C14F9E"/>
    <w:rsid w:val="00C17ED7"/>
    <w:rsid w:val="00C20B2F"/>
    <w:rsid w:val="00C20EDC"/>
    <w:rsid w:val="00C223DF"/>
    <w:rsid w:val="00C318B9"/>
    <w:rsid w:val="00C334F8"/>
    <w:rsid w:val="00C4025B"/>
    <w:rsid w:val="00C450E3"/>
    <w:rsid w:val="00C46816"/>
    <w:rsid w:val="00C52CE6"/>
    <w:rsid w:val="00C62A4B"/>
    <w:rsid w:val="00C645AB"/>
    <w:rsid w:val="00C649DD"/>
    <w:rsid w:val="00C729A9"/>
    <w:rsid w:val="00C75BB1"/>
    <w:rsid w:val="00C75DE1"/>
    <w:rsid w:val="00C77EB2"/>
    <w:rsid w:val="00C968B3"/>
    <w:rsid w:val="00CA57AF"/>
    <w:rsid w:val="00CA5E3A"/>
    <w:rsid w:val="00CB061F"/>
    <w:rsid w:val="00CB7256"/>
    <w:rsid w:val="00CD2E3D"/>
    <w:rsid w:val="00CD663A"/>
    <w:rsid w:val="00CD772D"/>
    <w:rsid w:val="00CE33B5"/>
    <w:rsid w:val="00CF0E14"/>
    <w:rsid w:val="00CF1CF3"/>
    <w:rsid w:val="00CF1D1E"/>
    <w:rsid w:val="00CF4000"/>
    <w:rsid w:val="00CF470D"/>
    <w:rsid w:val="00CF5F3F"/>
    <w:rsid w:val="00CF73F0"/>
    <w:rsid w:val="00CF7CFB"/>
    <w:rsid w:val="00CF7DC9"/>
    <w:rsid w:val="00D05FD8"/>
    <w:rsid w:val="00D126AA"/>
    <w:rsid w:val="00D303F7"/>
    <w:rsid w:val="00D50118"/>
    <w:rsid w:val="00D50BF3"/>
    <w:rsid w:val="00D66F58"/>
    <w:rsid w:val="00D70557"/>
    <w:rsid w:val="00D72684"/>
    <w:rsid w:val="00D73110"/>
    <w:rsid w:val="00D738CA"/>
    <w:rsid w:val="00D76A5B"/>
    <w:rsid w:val="00D77190"/>
    <w:rsid w:val="00D96C20"/>
    <w:rsid w:val="00DA715A"/>
    <w:rsid w:val="00DB075A"/>
    <w:rsid w:val="00DB4753"/>
    <w:rsid w:val="00DB6670"/>
    <w:rsid w:val="00DB6763"/>
    <w:rsid w:val="00DC1908"/>
    <w:rsid w:val="00DD7D74"/>
    <w:rsid w:val="00DE0D32"/>
    <w:rsid w:val="00DE1443"/>
    <w:rsid w:val="00DE43C7"/>
    <w:rsid w:val="00DF3786"/>
    <w:rsid w:val="00DF71DB"/>
    <w:rsid w:val="00DF7381"/>
    <w:rsid w:val="00E04916"/>
    <w:rsid w:val="00E20879"/>
    <w:rsid w:val="00E21E32"/>
    <w:rsid w:val="00E22E09"/>
    <w:rsid w:val="00E2419B"/>
    <w:rsid w:val="00E30D7F"/>
    <w:rsid w:val="00E41D10"/>
    <w:rsid w:val="00E44BD0"/>
    <w:rsid w:val="00E45C6A"/>
    <w:rsid w:val="00E5688A"/>
    <w:rsid w:val="00E6090B"/>
    <w:rsid w:val="00E6543A"/>
    <w:rsid w:val="00E8220A"/>
    <w:rsid w:val="00E87813"/>
    <w:rsid w:val="00E973F3"/>
    <w:rsid w:val="00EA32DE"/>
    <w:rsid w:val="00EA3D50"/>
    <w:rsid w:val="00EA6778"/>
    <w:rsid w:val="00EB2796"/>
    <w:rsid w:val="00EB526F"/>
    <w:rsid w:val="00EB6858"/>
    <w:rsid w:val="00EC15FA"/>
    <w:rsid w:val="00EC6EE7"/>
    <w:rsid w:val="00EC7B84"/>
    <w:rsid w:val="00ED6B6A"/>
    <w:rsid w:val="00EE0A2E"/>
    <w:rsid w:val="00EE1352"/>
    <w:rsid w:val="00EE355E"/>
    <w:rsid w:val="00EE4EDC"/>
    <w:rsid w:val="00EE6A9A"/>
    <w:rsid w:val="00EF0699"/>
    <w:rsid w:val="00EF0842"/>
    <w:rsid w:val="00EF41F9"/>
    <w:rsid w:val="00F013C0"/>
    <w:rsid w:val="00F07FAC"/>
    <w:rsid w:val="00F12154"/>
    <w:rsid w:val="00F156B0"/>
    <w:rsid w:val="00F20557"/>
    <w:rsid w:val="00F3466D"/>
    <w:rsid w:val="00F41800"/>
    <w:rsid w:val="00F516DB"/>
    <w:rsid w:val="00F55C14"/>
    <w:rsid w:val="00F57DA2"/>
    <w:rsid w:val="00F64435"/>
    <w:rsid w:val="00F65CCB"/>
    <w:rsid w:val="00F81894"/>
    <w:rsid w:val="00F82506"/>
    <w:rsid w:val="00F8743E"/>
    <w:rsid w:val="00F95E1F"/>
    <w:rsid w:val="00FA4A5A"/>
    <w:rsid w:val="00FA5940"/>
    <w:rsid w:val="00FB5C9E"/>
    <w:rsid w:val="00FC14F9"/>
    <w:rsid w:val="00FC4ECF"/>
    <w:rsid w:val="00FC67C4"/>
    <w:rsid w:val="00FE478F"/>
    <w:rsid w:val="00FE74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6D690-4F07-45BB-B09E-20518484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DB"/>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50EDB"/>
    <w:rPr>
      <w:color w:val="0000FF"/>
      <w:u w:val="single"/>
    </w:rPr>
  </w:style>
  <w:style w:type="paragraph" w:customStyle="1" w:styleId="Listavistosa-nfasis11">
    <w:name w:val="Lista vistosa - Énfasis 11"/>
    <w:basedOn w:val="Normal"/>
    <w:uiPriority w:val="34"/>
    <w:qFormat/>
    <w:rsid w:val="00350EDB"/>
    <w:pPr>
      <w:ind w:left="720"/>
    </w:pPr>
    <w:rPr>
      <w:rFonts w:ascii="Calibri" w:hAnsi="Calibri" w:cs="Calibri"/>
      <w:sz w:val="22"/>
      <w:szCs w:val="22"/>
    </w:rPr>
  </w:style>
  <w:style w:type="paragraph" w:styleId="Textonotapie">
    <w:name w:val="footnote text"/>
    <w:basedOn w:val="Normal"/>
    <w:link w:val="TextonotapieCar"/>
    <w:rsid w:val="001C31D5"/>
    <w:rPr>
      <w:rFonts w:eastAsia="Times New Roman"/>
      <w:sz w:val="20"/>
      <w:szCs w:val="20"/>
      <w:lang w:val="x-none" w:eastAsia="es-ES"/>
    </w:rPr>
  </w:style>
  <w:style w:type="character" w:customStyle="1" w:styleId="TextonotapieCar">
    <w:name w:val="Texto nota pie Car"/>
    <w:link w:val="Textonotapie"/>
    <w:rsid w:val="001C31D5"/>
    <w:rPr>
      <w:rFonts w:ascii="Times New Roman" w:eastAsia="Times New Roman" w:hAnsi="Times New Roman" w:cs="Times New Roman"/>
      <w:sz w:val="20"/>
      <w:szCs w:val="20"/>
      <w:lang w:eastAsia="es-ES"/>
    </w:rPr>
  </w:style>
  <w:style w:type="character" w:styleId="Refdenotaalpie">
    <w:name w:val="footnote reference"/>
    <w:rsid w:val="001C31D5"/>
    <w:rPr>
      <w:vertAlign w:val="superscript"/>
    </w:rPr>
  </w:style>
  <w:style w:type="paragraph" w:customStyle="1" w:styleId="Default">
    <w:name w:val="Default"/>
    <w:rsid w:val="00CF1D1E"/>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B01E85"/>
    <w:rPr>
      <w:rFonts w:ascii="Tahoma" w:hAnsi="Tahoma"/>
      <w:sz w:val="16"/>
      <w:szCs w:val="16"/>
      <w:lang w:val="x-none"/>
    </w:rPr>
  </w:style>
  <w:style w:type="character" w:customStyle="1" w:styleId="TextodegloboCar">
    <w:name w:val="Texto de globo Car"/>
    <w:link w:val="Textodeglobo"/>
    <w:uiPriority w:val="99"/>
    <w:semiHidden/>
    <w:rsid w:val="00B01E85"/>
    <w:rPr>
      <w:rFonts w:ascii="Tahoma" w:hAnsi="Tahoma" w:cs="Tahoma"/>
      <w:sz w:val="16"/>
      <w:szCs w:val="16"/>
      <w:lang w:eastAsia="es-CO"/>
    </w:rPr>
  </w:style>
  <w:style w:type="character" w:styleId="Refdecomentario">
    <w:name w:val="annotation reference"/>
    <w:uiPriority w:val="99"/>
    <w:semiHidden/>
    <w:unhideWhenUsed/>
    <w:rsid w:val="002F4CA2"/>
    <w:rPr>
      <w:sz w:val="16"/>
      <w:szCs w:val="16"/>
    </w:rPr>
  </w:style>
  <w:style w:type="paragraph" w:styleId="Textocomentario">
    <w:name w:val="annotation text"/>
    <w:basedOn w:val="Normal"/>
    <w:link w:val="TextocomentarioCar"/>
    <w:uiPriority w:val="99"/>
    <w:semiHidden/>
    <w:unhideWhenUsed/>
    <w:rsid w:val="002F4CA2"/>
    <w:rPr>
      <w:sz w:val="20"/>
      <w:szCs w:val="20"/>
      <w:lang w:val="x-none"/>
    </w:rPr>
  </w:style>
  <w:style w:type="character" w:customStyle="1" w:styleId="TextocomentarioCar">
    <w:name w:val="Texto comentario Car"/>
    <w:link w:val="Textocomentario"/>
    <w:uiPriority w:val="99"/>
    <w:semiHidden/>
    <w:rsid w:val="002F4CA2"/>
    <w:rPr>
      <w:rFonts w:ascii="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F4CA2"/>
    <w:rPr>
      <w:b/>
      <w:bCs/>
    </w:rPr>
  </w:style>
  <w:style w:type="character" w:customStyle="1" w:styleId="AsuntodelcomentarioCar">
    <w:name w:val="Asunto del comentario Car"/>
    <w:link w:val="Asuntodelcomentario"/>
    <w:uiPriority w:val="99"/>
    <w:semiHidden/>
    <w:rsid w:val="002F4CA2"/>
    <w:rPr>
      <w:rFonts w:ascii="Times New Roman" w:hAnsi="Times New Roman" w:cs="Times New Roman"/>
      <w:b/>
      <w:bCs/>
      <w:sz w:val="20"/>
      <w:szCs w:val="20"/>
      <w:lang w:eastAsia="es-CO"/>
    </w:rPr>
  </w:style>
  <w:style w:type="paragraph" w:styleId="Encabezado">
    <w:name w:val="header"/>
    <w:basedOn w:val="Normal"/>
    <w:link w:val="EncabezadoCar"/>
    <w:uiPriority w:val="99"/>
    <w:rsid w:val="00890CC3"/>
    <w:pPr>
      <w:tabs>
        <w:tab w:val="center" w:pos="4252"/>
        <w:tab w:val="right" w:pos="8504"/>
      </w:tabs>
    </w:pPr>
    <w:rPr>
      <w:rFonts w:eastAsia="Times New Roman"/>
      <w:lang w:val="x-none" w:eastAsia="es-ES"/>
    </w:rPr>
  </w:style>
  <w:style w:type="character" w:customStyle="1" w:styleId="EncabezadoCar">
    <w:name w:val="Encabezado Car"/>
    <w:link w:val="Encabezado"/>
    <w:uiPriority w:val="99"/>
    <w:rsid w:val="00890CC3"/>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0C1429"/>
    <w:pPr>
      <w:pBdr>
        <w:top w:val="single" w:sz="4" w:space="1" w:color="auto"/>
        <w:left w:val="single" w:sz="4" w:space="4" w:color="auto"/>
        <w:bottom w:val="single" w:sz="4" w:space="9" w:color="auto"/>
        <w:right w:val="single" w:sz="4" w:space="4" w:color="auto"/>
      </w:pBdr>
      <w:tabs>
        <w:tab w:val="left" w:pos="0"/>
      </w:tabs>
      <w:spacing w:after="240"/>
      <w:jc w:val="both"/>
    </w:pPr>
    <w:rPr>
      <w:rFonts w:ascii="Arial Narrow" w:eastAsia="Times New Roman" w:hAnsi="Arial Narrow"/>
      <w:sz w:val="20"/>
      <w:szCs w:val="20"/>
      <w:u w:color="000080"/>
      <w:lang w:val="es-ES" w:eastAsia="es-ES"/>
    </w:rPr>
  </w:style>
  <w:style w:type="character" w:customStyle="1" w:styleId="Textoindependiente3Car">
    <w:name w:val="Texto independiente 3 Car"/>
    <w:link w:val="Textoindependiente3"/>
    <w:rsid w:val="000C1429"/>
    <w:rPr>
      <w:rFonts w:ascii="Arial Narrow" w:eastAsia="Times New Roman" w:hAnsi="Arial Narrow" w:cs="Times New Roman"/>
      <w:u w:color="000080"/>
      <w:lang w:val="es-ES" w:eastAsia="es-ES"/>
    </w:rPr>
  </w:style>
  <w:style w:type="numbering" w:customStyle="1" w:styleId="Estilo1">
    <w:name w:val="Estilo1"/>
    <w:basedOn w:val="Sinlista"/>
    <w:rsid w:val="00683228"/>
    <w:pPr>
      <w:numPr>
        <w:numId w:val="23"/>
      </w:numPr>
    </w:pPr>
  </w:style>
  <w:style w:type="paragraph" w:customStyle="1" w:styleId="Estilo1CarCarCar">
    <w:name w:val="Estilo 1 Car Car Car"/>
    <w:basedOn w:val="Normal"/>
    <w:rsid w:val="00683228"/>
    <w:pPr>
      <w:numPr>
        <w:numId w:val="23"/>
      </w:numPr>
      <w:jc w:val="both"/>
    </w:pPr>
    <w:rPr>
      <w:rFonts w:ascii="Verdana" w:eastAsia="Times New Roman" w:hAnsi="Verdana"/>
      <w:b/>
      <w:lang w:val="x-none" w:eastAsia="es-ES"/>
    </w:rPr>
  </w:style>
  <w:style w:type="paragraph" w:customStyle="1" w:styleId="Estilo2">
    <w:name w:val="Estilo2"/>
    <w:basedOn w:val="Normal"/>
    <w:rsid w:val="00683228"/>
    <w:pPr>
      <w:numPr>
        <w:ilvl w:val="1"/>
        <w:numId w:val="23"/>
      </w:numPr>
    </w:pPr>
    <w:rPr>
      <w:rFonts w:ascii="Verdana" w:eastAsia="Times New Roman" w:hAnsi="Verdana"/>
      <w:lang w:val="es-ES" w:eastAsia="es-ES"/>
    </w:rPr>
  </w:style>
  <w:style w:type="paragraph" w:customStyle="1" w:styleId="Estilo3">
    <w:name w:val="Estilo3"/>
    <w:basedOn w:val="Normal"/>
    <w:rsid w:val="00683228"/>
    <w:pPr>
      <w:numPr>
        <w:ilvl w:val="2"/>
        <w:numId w:val="23"/>
      </w:numPr>
    </w:pPr>
    <w:rPr>
      <w:rFonts w:ascii="Verdana" w:eastAsia="Times New Roman" w:hAnsi="Verdana"/>
      <w:lang w:val="es-ES" w:eastAsia="es-ES"/>
    </w:rPr>
  </w:style>
  <w:style w:type="paragraph" w:customStyle="1" w:styleId="Estilo4">
    <w:name w:val="Estilo4"/>
    <w:basedOn w:val="Continuarlista"/>
    <w:rsid w:val="00683228"/>
    <w:pPr>
      <w:numPr>
        <w:ilvl w:val="3"/>
        <w:numId w:val="23"/>
      </w:numPr>
      <w:tabs>
        <w:tab w:val="clear" w:pos="2520"/>
        <w:tab w:val="num" w:pos="1080"/>
        <w:tab w:val="num" w:pos="2880"/>
      </w:tabs>
      <w:spacing w:after="0"/>
      <w:ind w:left="1080" w:hanging="1080"/>
      <w:contextualSpacing w:val="0"/>
      <w:jc w:val="both"/>
    </w:pPr>
    <w:rPr>
      <w:rFonts w:ascii="Verdana" w:eastAsia="Times New Roman" w:hAnsi="Verdana"/>
      <w:sz w:val="22"/>
      <w:szCs w:val="22"/>
      <w:lang w:eastAsia="es-ES"/>
    </w:rPr>
  </w:style>
  <w:style w:type="paragraph" w:styleId="Continuarlista">
    <w:name w:val="List Continue"/>
    <w:basedOn w:val="Normal"/>
    <w:uiPriority w:val="99"/>
    <w:semiHidden/>
    <w:unhideWhenUsed/>
    <w:rsid w:val="00683228"/>
    <w:pPr>
      <w:spacing w:after="120"/>
      <w:ind w:left="283"/>
      <w:contextualSpacing/>
    </w:pPr>
  </w:style>
  <w:style w:type="paragraph" w:styleId="Piedepgina">
    <w:name w:val="footer"/>
    <w:basedOn w:val="Normal"/>
    <w:link w:val="PiedepginaCar"/>
    <w:uiPriority w:val="99"/>
    <w:unhideWhenUsed/>
    <w:rsid w:val="00BD6A64"/>
    <w:pPr>
      <w:tabs>
        <w:tab w:val="center" w:pos="4419"/>
        <w:tab w:val="right" w:pos="8838"/>
      </w:tabs>
    </w:pPr>
  </w:style>
  <w:style w:type="character" w:customStyle="1" w:styleId="PiedepginaCar">
    <w:name w:val="Pie de página Car"/>
    <w:link w:val="Piedepgina"/>
    <w:uiPriority w:val="99"/>
    <w:rsid w:val="00BD6A64"/>
    <w:rPr>
      <w:rFonts w:ascii="Times New Roman" w:hAnsi="Times New Roman"/>
      <w:sz w:val="24"/>
      <w:szCs w:val="24"/>
    </w:rPr>
  </w:style>
  <w:style w:type="paragraph" w:styleId="NormalWeb">
    <w:name w:val="Normal (Web)"/>
    <w:basedOn w:val="Normal"/>
    <w:uiPriority w:val="99"/>
    <w:rsid w:val="008E463A"/>
    <w:pPr>
      <w:spacing w:before="100" w:beforeAutospacing="1" w:after="100" w:afterAutospacing="1"/>
    </w:pPr>
    <w:rPr>
      <w:rFonts w:eastAsia="Times New Roman"/>
      <w:lang w:val="es-ES" w:eastAsia="es-ES"/>
    </w:rPr>
  </w:style>
  <w:style w:type="paragraph" w:styleId="Prrafodelista">
    <w:name w:val="List Paragraph"/>
    <w:basedOn w:val="Normal"/>
    <w:uiPriority w:val="34"/>
    <w:qFormat/>
    <w:rsid w:val="00E45C6A"/>
    <w:pPr>
      <w:ind w:left="720"/>
      <w:contextualSpacing/>
    </w:pPr>
  </w:style>
  <w:style w:type="table" w:styleId="Tablaconcuadrcula">
    <w:name w:val="Table Grid"/>
    <w:basedOn w:val="Tablanormal"/>
    <w:uiPriority w:val="59"/>
    <w:rsid w:val="00282E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9764">
      <w:bodyDiv w:val="1"/>
      <w:marLeft w:val="0"/>
      <w:marRight w:val="0"/>
      <w:marTop w:val="0"/>
      <w:marBottom w:val="0"/>
      <w:divBdr>
        <w:top w:val="none" w:sz="0" w:space="0" w:color="auto"/>
        <w:left w:val="none" w:sz="0" w:space="0" w:color="auto"/>
        <w:bottom w:val="none" w:sz="0" w:space="0" w:color="auto"/>
        <w:right w:val="none" w:sz="0" w:space="0" w:color="auto"/>
      </w:divBdr>
    </w:div>
    <w:div w:id="368143695">
      <w:bodyDiv w:val="1"/>
      <w:marLeft w:val="0"/>
      <w:marRight w:val="0"/>
      <w:marTop w:val="0"/>
      <w:marBottom w:val="0"/>
      <w:divBdr>
        <w:top w:val="none" w:sz="0" w:space="0" w:color="auto"/>
        <w:left w:val="none" w:sz="0" w:space="0" w:color="auto"/>
        <w:bottom w:val="none" w:sz="0" w:space="0" w:color="auto"/>
        <w:right w:val="none" w:sz="0" w:space="0" w:color="auto"/>
      </w:divBdr>
    </w:div>
    <w:div w:id="398678362">
      <w:bodyDiv w:val="1"/>
      <w:marLeft w:val="0"/>
      <w:marRight w:val="0"/>
      <w:marTop w:val="0"/>
      <w:marBottom w:val="0"/>
      <w:divBdr>
        <w:top w:val="none" w:sz="0" w:space="0" w:color="auto"/>
        <w:left w:val="none" w:sz="0" w:space="0" w:color="auto"/>
        <w:bottom w:val="none" w:sz="0" w:space="0" w:color="auto"/>
        <w:right w:val="none" w:sz="0" w:space="0" w:color="auto"/>
      </w:divBdr>
    </w:div>
    <w:div w:id="508062494">
      <w:bodyDiv w:val="1"/>
      <w:marLeft w:val="0"/>
      <w:marRight w:val="0"/>
      <w:marTop w:val="0"/>
      <w:marBottom w:val="0"/>
      <w:divBdr>
        <w:top w:val="none" w:sz="0" w:space="0" w:color="auto"/>
        <w:left w:val="none" w:sz="0" w:space="0" w:color="auto"/>
        <w:bottom w:val="none" w:sz="0" w:space="0" w:color="auto"/>
        <w:right w:val="none" w:sz="0" w:space="0" w:color="auto"/>
      </w:divBdr>
    </w:div>
    <w:div w:id="544222503">
      <w:bodyDiv w:val="1"/>
      <w:marLeft w:val="0"/>
      <w:marRight w:val="0"/>
      <w:marTop w:val="0"/>
      <w:marBottom w:val="0"/>
      <w:divBdr>
        <w:top w:val="none" w:sz="0" w:space="0" w:color="auto"/>
        <w:left w:val="none" w:sz="0" w:space="0" w:color="auto"/>
        <w:bottom w:val="none" w:sz="0" w:space="0" w:color="auto"/>
        <w:right w:val="none" w:sz="0" w:space="0" w:color="auto"/>
      </w:divBdr>
    </w:div>
    <w:div w:id="664237944">
      <w:bodyDiv w:val="1"/>
      <w:marLeft w:val="0"/>
      <w:marRight w:val="0"/>
      <w:marTop w:val="0"/>
      <w:marBottom w:val="0"/>
      <w:divBdr>
        <w:top w:val="none" w:sz="0" w:space="0" w:color="auto"/>
        <w:left w:val="none" w:sz="0" w:space="0" w:color="auto"/>
        <w:bottom w:val="none" w:sz="0" w:space="0" w:color="auto"/>
        <w:right w:val="none" w:sz="0" w:space="0" w:color="auto"/>
      </w:divBdr>
    </w:div>
    <w:div w:id="881751963">
      <w:bodyDiv w:val="1"/>
      <w:marLeft w:val="0"/>
      <w:marRight w:val="0"/>
      <w:marTop w:val="0"/>
      <w:marBottom w:val="0"/>
      <w:divBdr>
        <w:top w:val="none" w:sz="0" w:space="0" w:color="auto"/>
        <w:left w:val="none" w:sz="0" w:space="0" w:color="auto"/>
        <w:bottom w:val="none" w:sz="0" w:space="0" w:color="auto"/>
        <w:right w:val="none" w:sz="0" w:space="0" w:color="auto"/>
      </w:divBdr>
    </w:div>
    <w:div w:id="15391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6532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Janeth Cortes Hernandez</dc:creator>
  <cp:lastModifiedBy>Marisol Amado Gonzalez</cp:lastModifiedBy>
  <cp:revision>2</cp:revision>
  <cp:lastPrinted>2015-12-03T17:27:00Z</cp:lastPrinted>
  <dcterms:created xsi:type="dcterms:W3CDTF">2017-10-09T20:53:00Z</dcterms:created>
  <dcterms:modified xsi:type="dcterms:W3CDTF">2017-10-09T20:53:00Z</dcterms:modified>
</cp:coreProperties>
</file>