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A53CB7" w14:textId="77777777" w:rsidR="001F260D" w:rsidRPr="005600D2" w:rsidRDefault="001F260D" w:rsidP="00B5777D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  <w:bookmarkStart w:id="0" w:name="_GoBack"/>
      <w:bookmarkEnd w:id="0"/>
    </w:p>
    <w:p w14:paraId="10172CFF" w14:textId="77777777" w:rsidR="00C46816" w:rsidRPr="005600D2" w:rsidRDefault="00C46816" w:rsidP="00B5777D">
      <w:pPr>
        <w:pStyle w:val="NormalWeb"/>
        <w:spacing w:before="0" w:beforeAutospacing="0" w:after="0" w:afterAutospacing="0"/>
        <w:ind w:firstLine="708"/>
        <w:jc w:val="both"/>
        <w:rPr>
          <w:rFonts w:ascii="Arial Narrow" w:eastAsia="Batang" w:hAnsi="Arial Narrow" w:cs="Arial"/>
          <w:b/>
          <w:caps/>
          <w:sz w:val="22"/>
          <w:szCs w:val="22"/>
          <w:lang w:eastAsia="ko-KR"/>
        </w:rPr>
      </w:pPr>
    </w:p>
    <w:p w14:paraId="6425F76B" w14:textId="77777777" w:rsidR="00AC46C4" w:rsidRPr="005600D2" w:rsidRDefault="00DB4753" w:rsidP="000F5AD9">
      <w:pPr>
        <w:pStyle w:val="NormalWeb"/>
        <w:spacing w:before="0" w:beforeAutospacing="0" w:after="0" w:afterAutospacing="0"/>
        <w:ind w:firstLine="708"/>
        <w:jc w:val="center"/>
        <w:rPr>
          <w:rFonts w:ascii="Arial Narrow" w:eastAsia="Batang" w:hAnsi="Arial Narrow" w:cs="Arial"/>
          <w:b/>
          <w:caps/>
          <w:sz w:val="22"/>
          <w:szCs w:val="22"/>
          <w:lang w:eastAsia="ko-KR"/>
        </w:rPr>
      </w:pPr>
      <w:r w:rsidRPr="005600D2">
        <w:rPr>
          <w:rFonts w:ascii="Arial Narrow" w:eastAsia="Batang" w:hAnsi="Arial Narrow" w:cs="Arial"/>
          <w:b/>
          <w:caps/>
          <w:sz w:val="22"/>
          <w:szCs w:val="22"/>
          <w:lang w:eastAsia="ko-KR"/>
        </w:rPr>
        <w:t xml:space="preserve">Proyecto de </w:t>
      </w:r>
      <w:r w:rsidR="00AC46C4" w:rsidRPr="005600D2">
        <w:rPr>
          <w:rFonts w:ascii="Arial Narrow" w:eastAsia="Batang" w:hAnsi="Arial Narrow" w:cs="Arial"/>
          <w:b/>
          <w:caps/>
          <w:sz w:val="22"/>
          <w:szCs w:val="22"/>
          <w:lang w:eastAsia="ko-KR"/>
        </w:rPr>
        <w:t>RESOLUCIÓN</w:t>
      </w:r>
    </w:p>
    <w:p w14:paraId="1F91BA56" w14:textId="77777777" w:rsidR="00AC46C4" w:rsidRPr="005600D2" w:rsidRDefault="00AC46C4" w:rsidP="00B5777D">
      <w:pPr>
        <w:pStyle w:val="NormalWeb"/>
        <w:spacing w:before="0" w:beforeAutospacing="0" w:after="0" w:afterAutospacing="0"/>
        <w:ind w:firstLine="708"/>
        <w:jc w:val="both"/>
        <w:rPr>
          <w:rFonts w:ascii="Arial Narrow" w:eastAsia="Batang" w:hAnsi="Arial Narrow" w:cs="Arial"/>
          <w:b/>
          <w:caps/>
          <w:sz w:val="22"/>
          <w:szCs w:val="22"/>
          <w:lang w:eastAsia="ko-KR"/>
        </w:rPr>
      </w:pPr>
    </w:p>
    <w:p w14:paraId="34A62F63" w14:textId="77777777" w:rsidR="00AC46C4" w:rsidRPr="005600D2" w:rsidRDefault="00AC46C4" w:rsidP="00B5777D">
      <w:pPr>
        <w:jc w:val="both"/>
        <w:rPr>
          <w:rFonts w:ascii="Arial Narrow" w:hAnsi="Arial Narrow" w:cs="Arial"/>
          <w:sz w:val="22"/>
          <w:szCs w:val="22"/>
        </w:rPr>
      </w:pPr>
      <w:r w:rsidRPr="005600D2">
        <w:rPr>
          <w:rFonts w:ascii="Arial Narrow" w:eastAsia="Batang" w:hAnsi="Arial Narrow" w:cs="Arial"/>
          <w:b/>
          <w:caps/>
          <w:sz w:val="22"/>
          <w:szCs w:val="22"/>
          <w:lang w:eastAsia="ko-KR"/>
        </w:rPr>
        <w:t>“</w:t>
      </w:r>
      <w:r w:rsidR="000F5AD9" w:rsidRPr="005600D2">
        <w:rPr>
          <w:rFonts w:ascii="Arial Narrow" w:hAnsi="Arial Narrow" w:cs="Arial"/>
          <w:i/>
          <w:sz w:val="22"/>
          <w:szCs w:val="22"/>
        </w:rPr>
        <w:t>Por la cual se modifica el literal b) del numeral 9.5 del artículo 9 de la Resolución 3680 de 2013</w:t>
      </w:r>
      <w:r w:rsidR="00D1357D" w:rsidRPr="005600D2">
        <w:rPr>
          <w:rFonts w:ascii="Arial Narrow" w:hAnsi="Arial Narrow" w:cs="Arial"/>
          <w:sz w:val="22"/>
          <w:szCs w:val="22"/>
        </w:rPr>
        <w:t>”</w:t>
      </w:r>
    </w:p>
    <w:p w14:paraId="6674C101" w14:textId="77777777" w:rsidR="00AC46C4" w:rsidRPr="005600D2" w:rsidRDefault="00AC46C4" w:rsidP="00B5777D">
      <w:pPr>
        <w:jc w:val="both"/>
        <w:rPr>
          <w:rFonts w:ascii="Arial Narrow" w:hAnsi="Arial Narrow" w:cs="Arial"/>
          <w:b/>
          <w:color w:val="000000"/>
          <w:sz w:val="22"/>
          <w:szCs w:val="22"/>
        </w:rPr>
      </w:pPr>
    </w:p>
    <w:p w14:paraId="281D2D9D" w14:textId="77777777" w:rsidR="00AC46C4" w:rsidRPr="005600D2" w:rsidRDefault="00AC46C4" w:rsidP="00B5777D">
      <w:pPr>
        <w:jc w:val="both"/>
        <w:rPr>
          <w:rFonts w:ascii="Arial Narrow" w:hAnsi="Arial Narrow" w:cs="Arial"/>
          <w:b/>
          <w:color w:val="000000"/>
          <w:sz w:val="22"/>
          <w:szCs w:val="22"/>
        </w:rPr>
      </w:pPr>
    </w:p>
    <w:p w14:paraId="026BA93F" w14:textId="713E7E74" w:rsidR="00AC46C4" w:rsidRPr="005600D2" w:rsidRDefault="00AC46C4" w:rsidP="00B5777D">
      <w:pPr>
        <w:jc w:val="both"/>
        <w:rPr>
          <w:rFonts w:ascii="Arial Narrow" w:hAnsi="Arial Narrow" w:cs="Arial"/>
          <w:b/>
          <w:sz w:val="22"/>
          <w:szCs w:val="22"/>
        </w:rPr>
      </w:pPr>
      <w:r w:rsidRPr="005600D2">
        <w:rPr>
          <w:rFonts w:ascii="Arial Narrow" w:hAnsi="Arial Narrow" w:cs="Arial"/>
          <w:b/>
          <w:sz w:val="22"/>
          <w:szCs w:val="22"/>
        </w:rPr>
        <w:t xml:space="preserve">Bogotá D.C., </w:t>
      </w:r>
      <w:r w:rsidR="005600D2" w:rsidRPr="005600D2">
        <w:rPr>
          <w:rFonts w:ascii="Arial Narrow" w:hAnsi="Arial Narrow" w:cs="Arial"/>
          <w:b/>
          <w:sz w:val="22"/>
          <w:szCs w:val="22"/>
        </w:rPr>
        <w:t>junio</w:t>
      </w:r>
      <w:r w:rsidR="00625E6A" w:rsidRPr="005600D2">
        <w:rPr>
          <w:rFonts w:ascii="Arial Narrow" w:hAnsi="Arial Narrow" w:cs="Arial"/>
          <w:b/>
          <w:sz w:val="22"/>
          <w:szCs w:val="22"/>
        </w:rPr>
        <w:t xml:space="preserve"> </w:t>
      </w:r>
      <w:r w:rsidRPr="005600D2">
        <w:rPr>
          <w:rFonts w:ascii="Arial Narrow" w:hAnsi="Arial Narrow" w:cs="Arial"/>
          <w:b/>
          <w:sz w:val="22"/>
          <w:szCs w:val="22"/>
        </w:rPr>
        <w:t>de 201</w:t>
      </w:r>
      <w:r w:rsidR="00D1357D" w:rsidRPr="005600D2">
        <w:rPr>
          <w:rFonts w:ascii="Arial Narrow" w:hAnsi="Arial Narrow" w:cs="Arial"/>
          <w:b/>
          <w:sz w:val="22"/>
          <w:szCs w:val="22"/>
        </w:rPr>
        <w:t>8</w:t>
      </w:r>
      <w:r w:rsidR="00BD0C00" w:rsidRPr="005600D2">
        <w:rPr>
          <w:rFonts w:ascii="Arial Narrow" w:hAnsi="Arial Narrow" w:cs="Arial"/>
          <w:b/>
          <w:sz w:val="22"/>
          <w:szCs w:val="22"/>
        </w:rPr>
        <w:t>,</w:t>
      </w:r>
    </w:p>
    <w:p w14:paraId="774874C1" w14:textId="77777777" w:rsidR="00AC46C4" w:rsidRPr="005600D2" w:rsidRDefault="00AC46C4" w:rsidP="00B5777D">
      <w:pPr>
        <w:jc w:val="both"/>
        <w:rPr>
          <w:rFonts w:ascii="Arial Narrow" w:hAnsi="Arial Narrow" w:cs="Arial"/>
          <w:b/>
          <w:sz w:val="22"/>
          <w:szCs w:val="22"/>
        </w:rPr>
      </w:pPr>
    </w:p>
    <w:p w14:paraId="31B40A06" w14:textId="77777777" w:rsidR="00C46816" w:rsidRPr="005600D2" w:rsidRDefault="00C46816" w:rsidP="00B5777D">
      <w:pPr>
        <w:jc w:val="both"/>
        <w:rPr>
          <w:rFonts w:ascii="Arial Narrow" w:hAnsi="Arial Narrow" w:cs="Arial"/>
          <w:b/>
          <w:sz w:val="22"/>
          <w:szCs w:val="22"/>
        </w:rPr>
      </w:pPr>
    </w:p>
    <w:p w14:paraId="62F166F6" w14:textId="77777777" w:rsidR="00C46816" w:rsidRPr="005600D2" w:rsidRDefault="00C46816" w:rsidP="00B5777D">
      <w:pPr>
        <w:jc w:val="both"/>
        <w:rPr>
          <w:rFonts w:ascii="Arial Narrow" w:hAnsi="Arial Narrow" w:cs="Arial"/>
          <w:b/>
          <w:sz w:val="22"/>
          <w:szCs w:val="22"/>
        </w:rPr>
      </w:pPr>
    </w:p>
    <w:p w14:paraId="6207E2F3" w14:textId="77777777" w:rsidR="00584CD6" w:rsidRPr="005600D2" w:rsidRDefault="00584CD6" w:rsidP="00B5777D">
      <w:pPr>
        <w:ind w:left="705" w:hanging="705"/>
        <w:jc w:val="both"/>
        <w:rPr>
          <w:rFonts w:ascii="Arial Narrow" w:hAnsi="Arial Narrow" w:cs="Arial"/>
          <w:b/>
          <w:sz w:val="22"/>
          <w:szCs w:val="22"/>
          <w:lang w:val="es-ES_tradnl"/>
        </w:rPr>
      </w:pPr>
      <w:r w:rsidRPr="005600D2">
        <w:rPr>
          <w:rFonts w:ascii="Arial Narrow" w:hAnsi="Arial Narrow" w:cs="Arial"/>
          <w:b/>
          <w:sz w:val="22"/>
          <w:szCs w:val="22"/>
          <w:lang w:val="es-ES_tradnl"/>
        </w:rPr>
        <w:t>1.</w:t>
      </w:r>
      <w:r w:rsidRPr="005600D2">
        <w:rPr>
          <w:rFonts w:ascii="Arial Narrow" w:hAnsi="Arial Narrow" w:cs="Arial"/>
          <w:b/>
          <w:sz w:val="22"/>
          <w:szCs w:val="22"/>
          <w:lang w:val="es-ES_tradnl"/>
        </w:rPr>
        <w:tab/>
        <w:t>Antecedentes y las razones de oportunidad y conveniencia que justifican la expedición de la norma</w:t>
      </w:r>
    </w:p>
    <w:p w14:paraId="639A8095" w14:textId="77777777" w:rsidR="00584CD6" w:rsidRPr="005600D2" w:rsidRDefault="00584CD6" w:rsidP="00B5777D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3943BB15" w14:textId="77777777" w:rsidR="00651D3E" w:rsidRPr="005600D2" w:rsidRDefault="00651D3E" w:rsidP="00651D3E">
      <w:pPr>
        <w:contextualSpacing/>
        <w:jc w:val="both"/>
        <w:rPr>
          <w:rFonts w:ascii="Arial Narrow" w:hAnsi="Arial Narrow" w:cs="Arial"/>
          <w:color w:val="000000"/>
          <w:sz w:val="22"/>
          <w:szCs w:val="22"/>
          <w:lang w:val="es-ES_tradnl"/>
        </w:rPr>
      </w:pPr>
      <w:r w:rsidRPr="005600D2">
        <w:rPr>
          <w:rFonts w:ascii="Arial Narrow" w:hAnsi="Arial Narrow" w:cs="Arial"/>
          <w:color w:val="000000"/>
          <w:sz w:val="22"/>
          <w:szCs w:val="22"/>
          <w:lang w:val="es-ES_tradnl"/>
        </w:rPr>
        <w:t>El Estado Colombiano, a través de sus diversos sectores económicos, tiene como política la actualización de los lineamientos establecidos por el</w:t>
      </w:r>
      <w:r w:rsidRPr="005600D2">
        <w:rPr>
          <w:rFonts w:ascii="Arial Narrow" w:hAnsi="Arial Narrow" w:cs="Arial"/>
          <w:sz w:val="22"/>
          <w:szCs w:val="22"/>
        </w:rPr>
        <w:t xml:space="preserve"> Grupo de Acción Financiera Internacional</w:t>
      </w:r>
      <w:r w:rsidRPr="005600D2">
        <w:rPr>
          <w:rFonts w:ascii="Arial Narrow" w:hAnsi="Arial Narrow" w:cs="Arial"/>
          <w:color w:val="000000"/>
          <w:sz w:val="22"/>
          <w:szCs w:val="22"/>
          <w:lang w:val="es-ES_tradnl"/>
        </w:rPr>
        <w:t xml:space="preserve"> - GAFI, específicamente las 40 Recomendaciones expedidas en 1989 para prevenir el Lavado de Activos y el Financiamiento del Terrorismo, las cuales están encaminadas a que las instituciones que manejen recursos del público tomen las medidas razonables para garantizar la plena identificación de los beneficiarios de los servicios, usando la información de fuentes confiables.</w:t>
      </w:r>
    </w:p>
    <w:p w14:paraId="766CDE21" w14:textId="77777777" w:rsidR="00651D3E" w:rsidRPr="005600D2" w:rsidRDefault="00651D3E" w:rsidP="00651D3E">
      <w:pPr>
        <w:contextualSpacing/>
        <w:jc w:val="both"/>
        <w:rPr>
          <w:rFonts w:ascii="Arial Narrow" w:hAnsi="Arial Narrow" w:cs="Arial"/>
          <w:color w:val="000000"/>
          <w:sz w:val="22"/>
          <w:szCs w:val="22"/>
          <w:lang w:val="es-ES_tradnl"/>
        </w:rPr>
      </w:pPr>
    </w:p>
    <w:p w14:paraId="49929F75" w14:textId="77777777" w:rsidR="00651D3E" w:rsidRPr="005600D2" w:rsidRDefault="00651D3E" w:rsidP="00651D3E">
      <w:pPr>
        <w:contextualSpacing/>
        <w:jc w:val="both"/>
        <w:rPr>
          <w:rFonts w:ascii="Arial Narrow" w:hAnsi="Arial Narrow" w:cs="Arial"/>
          <w:color w:val="000000"/>
          <w:sz w:val="22"/>
          <w:szCs w:val="22"/>
          <w:lang w:val="es-ES_tradnl"/>
        </w:rPr>
      </w:pPr>
      <w:r w:rsidRPr="005600D2">
        <w:rPr>
          <w:rFonts w:ascii="Arial Narrow" w:hAnsi="Arial Narrow" w:cs="Arial"/>
          <w:color w:val="000000"/>
          <w:sz w:val="22"/>
          <w:szCs w:val="22"/>
          <w:lang w:val="es-ES_tradnl"/>
        </w:rPr>
        <w:t>De igual forma, según lo dispuesto en el parágrafo 4 del artículo 18 del Decreto Ley 019 de 2012, los particulares que presten servicios públicos podrán incorporar el mecanismo de obtención electrónica de la huella dactilar de usuarios y clientes e inter-operar con la base de datos de la Registraduría Nacional del Estado Civil para evitar suplantación y fraudes.</w:t>
      </w:r>
    </w:p>
    <w:p w14:paraId="18FC34EE" w14:textId="77777777" w:rsidR="00651D3E" w:rsidRPr="005600D2" w:rsidRDefault="00651D3E" w:rsidP="00651D3E">
      <w:pPr>
        <w:contextualSpacing/>
        <w:jc w:val="both"/>
        <w:rPr>
          <w:rFonts w:ascii="Arial Narrow" w:hAnsi="Arial Narrow" w:cs="Arial"/>
          <w:color w:val="000000"/>
          <w:sz w:val="22"/>
          <w:szCs w:val="22"/>
          <w:lang w:val="es-ES_tradnl"/>
        </w:rPr>
      </w:pPr>
    </w:p>
    <w:p w14:paraId="1E8757BE" w14:textId="77777777" w:rsidR="00651D3E" w:rsidRPr="005600D2" w:rsidRDefault="00651D3E" w:rsidP="00651D3E">
      <w:pPr>
        <w:jc w:val="both"/>
        <w:rPr>
          <w:rStyle w:val="iaj"/>
          <w:rFonts w:ascii="Arial Narrow" w:hAnsi="Arial Narrow" w:cs="Arial"/>
          <w:iCs/>
          <w:color w:val="000000"/>
          <w:sz w:val="22"/>
          <w:szCs w:val="22"/>
        </w:rPr>
      </w:pPr>
      <w:r w:rsidRPr="005600D2">
        <w:rPr>
          <w:rFonts w:ascii="Arial Narrow" w:hAnsi="Arial Narrow" w:cs="Arial"/>
          <w:color w:val="000000"/>
          <w:sz w:val="22"/>
          <w:szCs w:val="22"/>
        </w:rPr>
        <w:t>A su turno, el parágrafo 2 del artículo </w:t>
      </w:r>
      <w:r w:rsidRPr="005600D2">
        <w:rPr>
          <w:rFonts w:ascii="Arial Narrow" w:hAnsi="Arial Narrow" w:cs="Arial"/>
          <w:sz w:val="22"/>
          <w:szCs w:val="22"/>
        </w:rPr>
        <w:t>159</w:t>
      </w:r>
      <w:r w:rsidRPr="005600D2">
        <w:rPr>
          <w:rFonts w:ascii="Arial Narrow" w:hAnsi="Arial Narrow" w:cs="Arial"/>
          <w:color w:val="000000"/>
          <w:sz w:val="22"/>
          <w:szCs w:val="22"/>
        </w:rPr>
        <w:t> de la Ley 1753 de 2015 confiere a l</w:t>
      </w:r>
      <w:r w:rsidRPr="005600D2">
        <w:rPr>
          <w:rStyle w:val="iaj"/>
          <w:rFonts w:ascii="Arial Narrow" w:hAnsi="Arial Narrow" w:cs="Arial"/>
          <w:iCs/>
          <w:color w:val="000000"/>
          <w:sz w:val="22"/>
          <w:szCs w:val="22"/>
        </w:rPr>
        <w:t>os particulares que desarrollen las actividades del artículo </w:t>
      </w:r>
      <w:r w:rsidRPr="005600D2">
        <w:rPr>
          <w:rFonts w:ascii="Arial Narrow" w:hAnsi="Arial Narrow" w:cs="Arial"/>
          <w:iCs/>
          <w:sz w:val="22"/>
          <w:szCs w:val="22"/>
        </w:rPr>
        <w:t>335</w:t>
      </w:r>
      <w:r w:rsidRPr="005600D2">
        <w:rPr>
          <w:rStyle w:val="iaj"/>
          <w:rFonts w:ascii="Arial Narrow" w:hAnsi="Arial Narrow" w:cs="Arial"/>
          <w:iCs/>
          <w:color w:val="000000"/>
          <w:sz w:val="22"/>
          <w:szCs w:val="22"/>
        </w:rPr>
        <w:t> de la Constitución Política y los</w:t>
      </w:r>
      <w:r w:rsidRPr="005600D2">
        <w:rPr>
          <w:rStyle w:val="iaj"/>
          <w:rFonts w:ascii="Arial Narrow" w:hAnsi="Arial Narrow" w:cs="Arial"/>
          <w:iCs/>
          <w:color w:val="000000"/>
          <w:sz w:val="22"/>
          <w:szCs w:val="22"/>
          <w:shd w:val="clear" w:color="auto" w:fill="F1F1F1"/>
        </w:rPr>
        <w:t xml:space="preserve"> </w:t>
      </w:r>
      <w:r w:rsidRPr="005600D2">
        <w:rPr>
          <w:rStyle w:val="iaj"/>
          <w:rFonts w:ascii="Arial Narrow" w:hAnsi="Arial Narrow" w:cs="Arial"/>
          <w:iCs/>
          <w:color w:val="000000"/>
          <w:sz w:val="22"/>
          <w:szCs w:val="22"/>
        </w:rPr>
        <w:t>demás que autorice la ley, la posibilidad de acceder a las réplicas de las bases de datos de identificación de la Registraduría y consultar en línea minucias dactilares, utilizando infraestructura propia o a través de un aliado tecnológico certificado por la Registraduría, debiendo</w:t>
      </w:r>
      <w:r w:rsidRPr="005600D2">
        <w:rPr>
          <w:rStyle w:val="iaj"/>
          <w:rFonts w:ascii="Arial Narrow" w:hAnsi="Arial Narrow" w:cs="Arial"/>
          <w:bCs/>
          <w:iCs/>
          <w:color w:val="000000"/>
          <w:sz w:val="22"/>
          <w:szCs w:val="22"/>
        </w:rPr>
        <w:t xml:space="preserve"> cubrir los costos que anualmente indique la Registraduría por concepto de administración, soporte, mantenimiento de las aplicaciones de las actualizaciones de las bases de datos</w:t>
      </w:r>
      <w:r w:rsidRPr="005600D2">
        <w:rPr>
          <w:rStyle w:val="iaj"/>
          <w:rFonts w:ascii="Arial Narrow" w:hAnsi="Arial Narrow" w:cs="Arial"/>
          <w:iCs/>
          <w:color w:val="000000"/>
          <w:sz w:val="22"/>
          <w:szCs w:val="22"/>
        </w:rPr>
        <w:t>.</w:t>
      </w:r>
    </w:p>
    <w:p w14:paraId="493DE03A" w14:textId="77777777" w:rsidR="00651D3E" w:rsidRPr="005600D2" w:rsidRDefault="00651D3E" w:rsidP="00651D3E">
      <w:pPr>
        <w:jc w:val="both"/>
        <w:rPr>
          <w:rStyle w:val="iaj"/>
          <w:rFonts w:ascii="Arial Narrow" w:hAnsi="Arial Narrow" w:cs="Arial"/>
          <w:iCs/>
          <w:color w:val="000000"/>
          <w:sz w:val="22"/>
          <w:szCs w:val="22"/>
        </w:rPr>
      </w:pPr>
    </w:p>
    <w:p w14:paraId="65CFE07E" w14:textId="77777777" w:rsidR="00651D3E" w:rsidRPr="005600D2" w:rsidRDefault="00651D3E" w:rsidP="00651D3E">
      <w:pPr>
        <w:jc w:val="both"/>
        <w:rPr>
          <w:rFonts w:ascii="Arial Narrow" w:hAnsi="Arial Narrow" w:cs="Arial"/>
          <w:sz w:val="22"/>
          <w:szCs w:val="22"/>
        </w:rPr>
      </w:pPr>
      <w:r w:rsidRPr="005600D2">
        <w:rPr>
          <w:rFonts w:ascii="Arial Narrow" w:hAnsi="Arial Narrow" w:cs="Arial"/>
          <w:sz w:val="22"/>
          <w:szCs w:val="22"/>
        </w:rPr>
        <w:t>Al amparo de dicho marco normativo y en observancia de la Recomendaciones GAFI se expidieron las Resoluciones 3680 de 2013, por la cual se establecen los criterios y parámetros mínimos del sistema de administración y mitigación del riesgo operativo y de tipo tecnológico, de información y funcionamiento por parte de los Operadores de Servicios Postales de Pago. Y la número 2564 de 2016, por la cual se establecen las reglas relativas al Sistema de Administración del Riesgo de Lavado de Activos y Financiación del Terrorismo para los Operadores Postales de Pago.</w:t>
      </w:r>
    </w:p>
    <w:p w14:paraId="72E4304A" w14:textId="77777777" w:rsidR="00651D3E" w:rsidRPr="005600D2" w:rsidRDefault="00651D3E" w:rsidP="00651D3E">
      <w:pPr>
        <w:jc w:val="both"/>
        <w:rPr>
          <w:rFonts w:ascii="Arial Narrow" w:hAnsi="Arial Narrow" w:cs="Arial"/>
          <w:sz w:val="22"/>
          <w:szCs w:val="22"/>
        </w:rPr>
      </w:pPr>
    </w:p>
    <w:p w14:paraId="371D8404" w14:textId="77777777" w:rsidR="00651D3E" w:rsidRPr="005600D2" w:rsidRDefault="00651D3E" w:rsidP="00651D3E">
      <w:pPr>
        <w:jc w:val="both"/>
        <w:rPr>
          <w:rStyle w:val="iaj"/>
          <w:rFonts w:ascii="Arial Narrow" w:hAnsi="Arial Narrow" w:cs="Arial"/>
          <w:iCs/>
          <w:color w:val="000000"/>
          <w:sz w:val="22"/>
          <w:szCs w:val="22"/>
        </w:rPr>
      </w:pPr>
      <w:r w:rsidRPr="005600D2">
        <w:rPr>
          <w:rFonts w:ascii="Arial Narrow" w:hAnsi="Arial Narrow" w:cs="Arial"/>
          <w:sz w:val="22"/>
          <w:szCs w:val="22"/>
        </w:rPr>
        <w:t xml:space="preserve">El artículo 9 de la Resolución 3680 de 2013 ordena a los operadores del servicio postal de pago contar con una </w:t>
      </w:r>
      <w:r w:rsidRPr="005600D2">
        <w:rPr>
          <w:rStyle w:val="btext"/>
          <w:rFonts w:ascii="Arial Narrow" w:hAnsi="Arial Narrow"/>
          <w:sz w:val="22"/>
          <w:szCs w:val="22"/>
        </w:rPr>
        <w:t>plataforma tecnológica informática que les posibilite el debido manejo y control del conjunto de sus operaciones, y</w:t>
      </w:r>
      <w:r w:rsidRPr="005600D2">
        <w:rPr>
          <w:rFonts w:ascii="Arial Narrow" w:hAnsi="Arial Narrow" w:cs="Arial"/>
          <w:sz w:val="22"/>
          <w:szCs w:val="22"/>
        </w:rPr>
        <w:t xml:space="preserve"> les atribuye en el numeral 9.5 el deber de conocer plenamente la identificación de sus clientes mediante el uso de factores de identificación individual y biométrico.  En el mismo sentido, el numeral 6.2.7 del artículo 6 de la Resolución 2564 de 2016 prevé que los operadores postales de pago deben diseñar formularios de envío y </w:t>
      </w:r>
      <w:r w:rsidRPr="005600D2">
        <w:rPr>
          <w:rFonts w:ascii="Arial Narrow" w:hAnsi="Arial Narrow" w:cs="Arial"/>
          <w:sz w:val="22"/>
          <w:szCs w:val="22"/>
        </w:rPr>
        <w:lastRenderedPageBreak/>
        <w:t>reclamo del giro, que tenga información relacionada con la huella dactilar del solicitante y el beneficiario entre otros datos de identificación.</w:t>
      </w:r>
      <w:r w:rsidRPr="005600D2">
        <w:rPr>
          <w:rStyle w:val="iaj"/>
          <w:rFonts w:ascii="Arial Narrow" w:hAnsi="Arial Narrow" w:cs="Arial"/>
          <w:iCs/>
          <w:color w:val="000000"/>
          <w:sz w:val="22"/>
          <w:szCs w:val="22"/>
        </w:rPr>
        <w:t xml:space="preserve"> </w:t>
      </w:r>
    </w:p>
    <w:p w14:paraId="025E4E1F" w14:textId="77777777" w:rsidR="00651D3E" w:rsidRPr="005600D2" w:rsidRDefault="00651D3E" w:rsidP="00651D3E">
      <w:pPr>
        <w:jc w:val="both"/>
        <w:rPr>
          <w:rStyle w:val="iaj"/>
          <w:rFonts w:ascii="Arial Narrow" w:hAnsi="Arial Narrow" w:cs="Arial"/>
          <w:iCs/>
          <w:color w:val="000000"/>
          <w:sz w:val="22"/>
          <w:szCs w:val="22"/>
        </w:rPr>
      </w:pPr>
    </w:p>
    <w:p w14:paraId="76E7A55E" w14:textId="77777777" w:rsidR="00651D3E" w:rsidRPr="005600D2" w:rsidRDefault="00651D3E" w:rsidP="00651D3E">
      <w:pPr>
        <w:jc w:val="both"/>
        <w:rPr>
          <w:rFonts w:ascii="Arial Narrow" w:hAnsi="Arial Narrow" w:cs="Arial"/>
          <w:color w:val="000000"/>
          <w:sz w:val="22"/>
          <w:szCs w:val="22"/>
          <w:lang w:val="es-ES_tradnl"/>
        </w:rPr>
      </w:pPr>
      <w:r w:rsidRPr="005600D2">
        <w:rPr>
          <w:rStyle w:val="iaj"/>
          <w:rFonts w:ascii="Arial Narrow" w:hAnsi="Arial Narrow" w:cs="Arial"/>
          <w:iCs/>
          <w:color w:val="000000"/>
          <w:sz w:val="22"/>
          <w:szCs w:val="22"/>
        </w:rPr>
        <w:t>En virtud de los fundamentos antes expuestos, resulta necesario modificar el literal b) del numeral 9.5 de la Resolución 3680 de 2013, para establecer las condiciones de acceso y consulta de</w:t>
      </w:r>
      <w:r w:rsidRPr="005600D2">
        <w:rPr>
          <w:rFonts w:ascii="Arial Narrow" w:hAnsi="Arial Narrow" w:cs="Arial"/>
          <w:color w:val="000000"/>
          <w:sz w:val="22"/>
          <w:szCs w:val="22"/>
          <w:lang w:val="es-ES_tradnl"/>
        </w:rPr>
        <w:t xml:space="preserve"> los operadores postales de pago a las bases de datos de la Registraduría Nacional del Estado Civil, en aras de garantizar la plena identificación de los usuarios de este servicio público.</w:t>
      </w:r>
    </w:p>
    <w:p w14:paraId="2FC00A80" w14:textId="77777777" w:rsidR="00651D3E" w:rsidRPr="005600D2" w:rsidRDefault="00651D3E" w:rsidP="00651D3E">
      <w:pPr>
        <w:jc w:val="both"/>
        <w:rPr>
          <w:rFonts w:ascii="Arial Narrow" w:hAnsi="Arial Narrow" w:cs="Arial"/>
          <w:color w:val="000000"/>
          <w:sz w:val="22"/>
          <w:szCs w:val="22"/>
          <w:lang w:val="es-ES_tradnl"/>
        </w:rPr>
      </w:pPr>
    </w:p>
    <w:p w14:paraId="755FAAEF" w14:textId="77777777" w:rsidR="00AC46C4" w:rsidRPr="005600D2" w:rsidRDefault="00AC46C4" w:rsidP="00B5777D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722D9C3D" w14:textId="77777777" w:rsidR="00584CD6" w:rsidRPr="005600D2" w:rsidRDefault="00584CD6" w:rsidP="00B5777D">
      <w:pPr>
        <w:jc w:val="both"/>
        <w:rPr>
          <w:rFonts w:ascii="Arial Narrow" w:hAnsi="Arial Narrow" w:cs="Arial"/>
          <w:b/>
          <w:sz w:val="22"/>
          <w:szCs w:val="22"/>
          <w:lang w:val="es-ES_tradnl"/>
        </w:rPr>
      </w:pPr>
      <w:r w:rsidRPr="005600D2">
        <w:rPr>
          <w:rFonts w:ascii="Arial Narrow" w:hAnsi="Arial Narrow" w:cs="Arial"/>
          <w:b/>
          <w:sz w:val="22"/>
          <w:szCs w:val="22"/>
          <w:lang w:val="es-ES_tradnl"/>
        </w:rPr>
        <w:t>2.</w:t>
      </w:r>
      <w:r w:rsidRPr="005600D2">
        <w:rPr>
          <w:rFonts w:ascii="Arial Narrow" w:hAnsi="Arial Narrow" w:cs="Arial"/>
          <w:b/>
          <w:sz w:val="22"/>
          <w:szCs w:val="22"/>
          <w:lang w:val="es-ES_tradnl"/>
        </w:rPr>
        <w:tab/>
        <w:t>Ámbito de aplicación del acto administrativo</w:t>
      </w:r>
    </w:p>
    <w:p w14:paraId="5ACFD575" w14:textId="77777777" w:rsidR="00584CD6" w:rsidRPr="005600D2" w:rsidRDefault="00584CD6" w:rsidP="00B5777D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723CC8BC" w14:textId="77777777" w:rsidR="00651D3E" w:rsidRPr="005600D2" w:rsidRDefault="00AC46C4" w:rsidP="00B5777D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  <w:r w:rsidRPr="005600D2">
        <w:rPr>
          <w:rFonts w:ascii="Arial Narrow" w:hAnsi="Arial Narrow" w:cs="Arial"/>
          <w:sz w:val="22"/>
          <w:szCs w:val="22"/>
          <w:lang w:val="es-ES_tradnl"/>
        </w:rPr>
        <w:t xml:space="preserve">El proyecto de Resolución </w:t>
      </w:r>
      <w:r w:rsidR="00651D3E" w:rsidRPr="005600D2">
        <w:rPr>
          <w:rFonts w:ascii="Arial Narrow" w:hAnsi="Arial Narrow" w:cs="Arial"/>
          <w:sz w:val="22"/>
          <w:szCs w:val="22"/>
          <w:lang w:val="es-ES_tradnl"/>
        </w:rPr>
        <w:t>aplica a todos los Operadores del Servicio Postal de Pago.</w:t>
      </w:r>
    </w:p>
    <w:p w14:paraId="20EDCF55" w14:textId="77777777" w:rsidR="00D1357D" w:rsidRPr="005600D2" w:rsidRDefault="00651D3E" w:rsidP="00B5777D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  <w:r w:rsidRPr="005600D2">
        <w:rPr>
          <w:rFonts w:ascii="Arial Narrow" w:hAnsi="Arial Narrow" w:cs="Arial"/>
          <w:sz w:val="22"/>
          <w:szCs w:val="22"/>
          <w:lang w:val="es-ES_tradnl"/>
        </w:rPr>
        <w:t xml:space="preserve"> </w:t>
      </w:r>
    </w:p>
    <w:p w14:paraId="5E37AD3E" w14:textId="77777777" w:rsidR="00584CD6" w:rsidRPr="005600D2" w:rsidRDefault="00584CD6" w:rsidP="00B5777D">
      <w:pPr>
        <w:jc w:val="both"/>
        <w:rPr>
          <w:rFonts w:ascii="Arial Narrow" w:hAnsi="Arial Narrow" w:cs="Arial"/>
          <w:b/>
          <w:sz w:val="22"/>
          <w:szCs w:val="22"/>
          <w:lang w:val="es-ES_tradnl"/>
        </w:rPr>
      </w:pPr>
      <w:r w:rsidRPr="005600D2">
        <w:rPr>
          <w:rFonts w:ascii="Arial Narrow" w:hAnsi="Arial Narrow" w:cs="Arial"/>
          <w:b/>
          <w:sz w:val="22"/>
          <w:szCs w:val="22"/>
          <w:lang w:val="es-ES_tradnl"/>
        </w:rPr>
        <w:t>3.</w:t>
      </w:r>
      <w:r w:rsidRPr="005600D2">
        <w:rPr>
          <w:rFonts w:ascii="Arial Narrow" w:hAnsi="Arial Narrow" w:cs="Arial"/>
          <w:b/>
          <w:sz w:val="22"/>
          <w:szCs w:val="22"/>
          <w:lang w:val="es-ES_tradnl"/>
        </w:rPr>
        <w:tab/>
        <w:t xml:space="preserve">Estudio preliminar de viabilidad jurídica de la expedición de la norma </w:t>
      </w:r>
    </w:p>
    <w:p w14:paraId="18FE1AAA" w14:textId="77777777" w:rsidR="00584CD6" w:rsidRPr="005600D2" w:rsidRDefault="00584CD6" w:rsidP="00B5777D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675197E3" w14:textId="77777777" w:rsidR="00584CD6" w:rsidRPr="005600D2" w:rsidRDefault="00584CD6" w:rsidP="00B5777D">
      <w:pPr>
        <w:widowControl w:val="0"/>
        <w:autoSpaceDE w:val="0"/>
        <w:autoSpaceDN w:val="0"/>
        <w:adjustRightInd w:val="0"/>
        <w:ind w:left="705" w:hanging="705"/>
        <w:contextualSpacing/>
        <w:jc w:val="both"/>
        <w:rPr>
          <w:rFonts w:ascii="Arial Narrow" w:hAnsi="Arial Narrow" w:cs="Arial"/>
          <w:sz w:val="22"/>
          <w:szCs w:val="22"/>
        </w:rPr>
      </w:pPr>
      <w:r w:rsidRPr="005600D2">
        <w:rPr>
          <w:rFonts w:ascii="Arial Narrow" w:hAnsi="Arial Narrow" w:cs="Arial"/>
          <w:b/>
          <w:sz w:val="22"/>
          <w:szCs w:val="22"/>
        </w:rPr>
        <w:t>3.1.</w:t>
      </w:r>
      <w:r w:rsidRPr="005600D2">
        <w:rPr>
          <w:rFonts w:ascii="Arial Narrow" w:hAnsi="Arial Narrow" w:cs="Arial"/>
          <w:b/>
          <w:sz w:val="22"/>
          <w:szCs w:val="22"/>
        </w:rPr>
        <w:tab/>
      </w:r>
      <w:r w:rsidRPr="005600D2">
        <w:rPr>
          <w:rFonts w:ascii="Arial Narrow" w:hAnsi="Arial Narrow" w:cs="Arial"/>
          <w:sz w:val="22"/>
          <w:szCs w:val="22"/>
        </w:rPr>
        <w:t xml:space="preserve">Análisis expreso y detallado de las normas que otorgan competencia para la expedición del </w:t>
      </w:r>
      <w:r w:rsidRPr="005600D2">
        <w:rPr>
          <w:rFonts w:ascii="Arial Narrow" w:hAnsi="Arial Narrow" w:cs="Arial"/>
          <w:sz w:val="22"/>
          <w:szCs w:val="22"/>
          <w:lang w:val="es-ES_tradnl"/>
        </w:rPr>
        <w:t>acto administrativo:</w:t>
      </w:r>
    </w:p>
    <w:p w14:paraId="403CDF25" w14:textId="77777777" w:rsidR="00584CD6" w:rsidRPr="005600D2" w:rsidRDefault="00584CD6" w:rsidP="00B5777D">
      <w:pPr>
        <w:widowControl w:val="0"/>
        <w:autoSpaceDE w:val="0"/>
        <w:autoSpaceDN w:val="0"/>
        <w:adjustRightInd w:val="0"/>
        <w:contextualSpacing/>
        <w:jc w:val="both"/>
        <w:rPr>
          <w:rFonts w:ascii="Arial Narrow" w:hAnsi="Arial Narrow" w:cs="Arial"/>
          <w:b/>
          <w:sz w:val="22"/>
          <w:szCs w:val="22"/>
        </w:rPr>
      </w:pPr>
    </w:p>
    <w:p w14:paraId="7A4955B2" w14:textId="28CC8382" w:rsidR="00651D3E" w:rsidRPr="005600D2" w:rsidRDefault="00AC46C4" w:rsidP="00B5777D">
      <w:pPr>
        <w:contextualSpacing/>
        <w:jc w:val="both"/>
        <w:rPr>
          <w:rFonts w:ascii="Arial Narrow" w:hAnsi="Arial Narrow" w:cs="Arial"/>
          <w:sz w:val="22"/>
          <w:szCs w:val="22"/>
        </w:rPr>
      </w:pPr>
      <w:r w:rsidRPr="005600D2">
        <w:rPr>
          <w:rFonts w:ascii="Arial Narrow" w:hAnsi="Arial Narrow" w:cs="Arial"/>
          <w:sz w:val="22"/>
          <w:szCs w:val="22"/>
        </w:rPr>
        <w:t xml:space="preserve">Las normas que otorgan la competencia para la expedición </w:t>
      </w:r>
      <w:r w:rsidR="00E0039C" w:rsidRPr="005600D2">
        <w:rPr>
          <w:rFonts w:ascii="Arial Narrow" w:hAnsi="Arial Narrow" w:cs="Arial"/>
          <w:sz w:val="22"/>
          <w:szCs w:val="22"/>
        </w:rPr>
        <w:t>el</w:t>
      </w:r>
      <w:r w:rsidRPr="005600D2">
        <w:rPr>
          <w:rFonts w:ascii="Arial Narrow" w:hAnsi="Arial Narrow" w:cs="Arial"/>
          <w:sz w:val="22"/>
          <w:szCs w:val="22"/>
        </w:rPr>
        <w:t xml:space="preserve"> acto administrativo son </w:t>
      </w:r>
      <w:r w:rsidR="00651D3E" w:rsidRPr="005600D2">
        <w:rPr>
          <w:rFonts w:ascii="Arial Narrow" w:hAnsi="Arial Narrow" w:cs="Arial"/>
          <w:sz w:val="22"/>
          <w:szCs w:val="22"/>
        </w:rPr>
        <w:t>el parágrafo 2 de</w:t>
      </w:r>
      <w:r w:rsidR="00E0039C" w:rsidRPr="005600D2">
        <w:rPr>
          <w:rFonts w:ascii="Arial Narrow" w:hAnsi="Arial Narrow" w:cs="Arial"/>
          <w:sz w:val="22"/>
          <w:szCs w:val="22"/>
        </w:rPr>
        <w:t>l</w:t>
      </w:r>
      <w:r w:rsidR="00651D3E" w:rsidRPr="005600D2">
        <w:rPr>
          <w:rFonts w:ascii="Arial Narrow" w:hAnsi="Arial Narrow" w:cs="Arial"/>
          <w:sz w:val="22"/>
          <w:szCs w:val="22"/>
        </w:rPr>
        <w:t xml:space="preserve"> artículo 4</w:t>
      </w:r>
      <w:r w:rsidR="00F61C29" w:rsidRPr="005600D2">
        <w:rPr>
          <w:rFonts w:ascii="Arial Narrow" w:hAnsi="Arial Narrow" w:cs="Arial"/>
          <w:sz w:val="22"/>
          <w:szCs w:val="22"/>
        </w:rPr>
        <w:t xml:space="preserve"> de la ley 1369 de </w:t>
      </w:r>
      <w:r w:rsidR="00E0039C" w:rsidRPr="005600D2">
        <w:rPr>
          <w:rFonts w:ascii="Arial Narrow" w:hAnsi="Arial Narrow" w:cs="Arial"/>
          <w:sz w:val="22"/>
          <w:szCs w:val="22"/>
        </w:rPr>
        <w:t>2009, mediante el cual</w:t>
      </w:r>
      <w:r w:rsidR="008A2E19" w:rsidRPr="005600D2">
        <w:rPr>
          <w:rFonts w:ascii="Arial Narrow" w:hAnsi="Arial Narrow" w:cs="Arial"/>
          <w:sz w:val="22"/>
          <w:szCs w:val="22"/>
        </w:rPr>
        <w:t xml:space="preserve"> se establece la </w:t>
      </w:r>
      <w:r w:rsidR="00E96C31" w:rsidRPr="005600D2">
        <w:rPr>
          <w:rFonts w:ascii="Arial Narrow" w:hAnsi="Arial Narrow" w:cs="Arial"/>
          <w:sz w:val="22"/>
          <w:szCs w:val="22"/>
        </w:rPr>
        <w:t>competencia para</w:t>
      </w:r>
      <w:r w:rsidR="0007181E" w:rsidRPr="005600D2">
        <w:rPr>
          <w:rFonts w:ascii="Arial Narrow" w:hAnsi="Arial Narrow" w:cs="Arial"/>
          <w:sz w:val="22"/>
          <w:szCs w:val="22"/>
        </w:rPr>
        <w:t xml:space="preserve"> reglamentar</w:t>
      </w:r>
      <w:r w:rsidR="008A2E19" w:rsidRPr="005600D2">
        <w:rPr>
          <w:rFonts w:ascii="Arial Narrow" w:hAnsi="Arial Narrow" w:cs="Arial"/>
          <w:sz w:val="22"/>
          <w:szCs w:val="22"/>
        </w:rPr>
        <w:t xml:space="preserve"> los requisitos </w:t>
      </w:r>
      <w:r w:rsidR="00E96C31" w:rsidRPr="005600D2">
        <w:rPr>
          <w:rFonts w:ascii="Arial Narrow" w:hAnsi="Arial Narrow" w:cs="Arial"/>
          <w:sz w:val="22"/>
          <w:szCs w:val="22"/>
        </w:rPr>
        <w:t>de mitigación</w:t>
      </w:r>
      <w:r w:rsidR="008A2E19" w:rsidRPr="005600D2">
        <w:rPr>
          <w:rFonts w:ascii="Arial Narrow" w:hAnsi="Arial Narrow" w:cs="Arial"/>
          <w:sz w:val="22"/>
          <w:szCs w:val="22"/>
        </w:rPr>
        <w:t xml:space="preserve"> de riesgos para </w:t>
      </w:r>
      <w:r w:rsidR="001D7465" w:rsidRPr="005600D2">
        <w:rPr>
          <w:rFonts w:ascii="Arial Narrow" w:hAnsi="Arial Narrow" w:cs="Arial"/>
          <w:sz w:val="22"/>
          <w:szCs w:val="22"/>
        </w:rPr>
        <w:t>los operadores</w:t>
      </w:r>
      <w:r w:rsidR="008A2E19" w:rsidRPr="005600D2">
        <w:rPr>
          <w:rFonts w:ascii="Arial Narrow" w:hAnsi="Arial Narrow" w:cs="Arial"/>
          <w:sz w:val="22"/>
          <w:szCs w:val="22"/>
        </w:rPr>
        <w:t xml:space="preserve"> postales de </w:t>
      </w:r>
      <w:r w:rsidR="005600D2" w:rsidRPr="005600D2">
        <w:rPr>
          <w:rFonts w:ascii="Arial Narrow" w:hAnsi="Arial Narrow" w:cs="Arial"/>
          <w:sz w:val="22"/>
          <w:szCs w:val="22"/>
        </w:rPr>
        <w:t>pago, y</w:t>
      </w:r>
      <w:r w:rsidR="00651D3E" w:rsidRPr="005600D2">
        <w:rPr>
          <w:rFonts w:ascii="Arial Narrow" w:hAnsi="Arial Narrow" w:cs="Arial"/>
          <w:sz w:val="22"/>
          <w:szCs w:val="22"/>
        </w:rPr>
        <w:t xml:space="preserve"> el numeral 6 del artículo 18 de </w:t>
      </w:r>
      <w:r w:rsidR="00E0039C" w:rsidRPr="005600D2">
        <w:rPr>
          <w:rFonts w:ascii="Arial Narrow" w:hAnsi="Arial Narrow" w:cs="Arial"/>
          <w:sz w:val="22"/>
          <w:szCs w:val="22"/>
        </w:rPr>
        <w:t>dicha ley</w:t>
      </w:r>
      <w:r w:rsidR="00651D3E" w:rsidRPr="005600D2">
        <w:rPr>
          <w:rFonts w:ascii="Arial Narrow" w:hAnsi="Arial Narrow" w:cs="Arial"/>
          <w:sz w:val="22"/>
          <w:szCs w:val="22"/>
        </w:rPr>
        <w:t xml:space="preserve">, </w:t>
      </w:r>
      <w:r w:rsidR="008A2E19" w:rsidRPr="005600D2">
        <w:rPr>
          <w:rFonts w:ascii="Arial Narrow" w:hAnsi="Arial Narrow" w:cs="Arial"/>
          <w:sz w:val="22"/>
          <w:szCs w:val="22"/>
        </w:rPr>
        <w:t xml:space="preserve"> el cual dispone que el  Ministerio podrá expedir reglamentos técnicos  a que haya lugar</w:t>
      </w:r>
      <w:r w:rsidR="00E0039C" w:rsidRPr="005600D2">
        <w:rPr>
          <w:rFonts w:ascii="Arial Narrow" w:hAnsi="Arial Narrow" w:cs="Arial"/>
          <w:sz w:val="22"/>
          <w:szCs w:val="22"/>
        </w:rPr>
        <w:t>.</w:t>
      </w:r>
    </w:p>
    <w:p w14:paraId="6A6983E6" w14:textId="77777777" w:rsidR="00AC46C4" w:rsidRPr="005600D2" w:rsidRDefault="00AC46C4" w:rsidP="00B5777D">
      <w:pPr>
        <w:contextualSpacing/>
        <w:jc w:val="both"/>
        <w:rPr>
          <w:rFonts w:ascii="Arial Narrow" w:hAnsi="Arial Narrow" w:cs="Arial"/>
          <w:sz w:val="22"/>
          <w:szCs w:val="22"/>
        </w:rPr>
      </w:pPr>
    </w:p>
    <w:p w14:paraId="6CF600AB" w14:textId="716B1F75" w:rsidR="00584CD6" w:rsidRPr="005600D2" w:rsidRDefault="00584CD6" w:rsidP="00B5777D">
      <w:pPr>
        <w:spacing w:line="276" w:lineRule="atLeast"/>
        <w:jc w:val="both"/>
        <w:rPr>
          <w:rFonts w:ascii="Arial Narrow" w:hAnsi="Arial Narrow" w:cs="Arial"/>
          <w:sz w:val="22"/>
          <w:szCs w:val="22"/>
          <w:lang w:eastAsia="en-US"/>
        </w:rPr>
      </w:pPr>
      <w:r w:rsidRPr="005600D2">
        <w:rPr>
          <w:rFonts w:ascii="Arial Narrow" w:hAnsi="Arial Narrow" w:cs="Arial"/>
          <w:b/>
          <w:sz w:val="22"/>
          <w:szCs w:val="22"/>
          <w:lang w:eastAsia="en-US"/>
        </w:rPr>
        <w:t>3.2.</w:t>
      </w:r>
      <w:r w:rsidRPr="005600D2">
        <w:rPr>
          <w:rFonts w:ascii="Arial Narrow" w:hAnsi="Arial Narrow" w:cs="Arial"/>
          <w:b/>
          <w:sz w:val="22"/>
          <w:szCs w:val="22"/>
          <w:lang w:eastAsia="en-US"/>
        </w:rPr>
        <w:tab/>
      </w:r>
      <w:r w:rsidRPr="005600D2">
        <w:rPr>
          <w:rFonts w:ascii="Arial Narrow" w:hAnsi="Arial Narrow" w:cs="Arial"/>
          <w:sz w:val="22"/>
          <w:szCs w:val="22"/>
          <w:lang w:eastAsia="en-US"/>
        </w:rPr>
        <w:t xml:space="preserve">Vigencia de la ley o norma reglamentada o desarrollada con el </w:t>
      </w:r>
      <w:r w:rsidRPr="005600D2">
        <w:rPr>
          <w:rFonts w:ascii="Arial Narrow" w:hAnsi="Arial Narrow" w:cs="Arial"/>
          <w:sz w:val="22"/>
          <w:szCs w:val="22"/>
          <w:lang w:val="es-ES_tradnl"/>
        </w:rPr>
        <w:t>acto administrativo</w:t>
      </w:r>
      <w:r w:rsidRPr="005600D2">
        <w:rPr>
          <w:rFonts w:ascii="Arial Narrow" w:hAnsi="Arial Narrow" w:cs="Arial"/>
          <w:sz w:val="22"/>
          <w:szCs w:val="22"/>
          <w:lang w:eastAsia="en-US"/>
        </w:rPr>
        <w:t>:</w:t>
      </w:r>
    </w:p>
    <w:p w14:paraId="35A2C411" w14:textId="77777777" w:rsidR="0007181E" w:rsidRPr="005600D2" w:rsidRDefault="0007181E" w:rsidP="00B5777D">
      <w:pPr>
        <w:spacing w:line="276" w:lineRule="atLeast"/>
        <w:jc w:val="both"/>
        <w:rPr>
          <w:rFonts w:ascii="Arial Narrow" w:hAnsi="Arial Narrow" w:cs="Arial"/>
          <w:sz w:val="22"/>
          <w:szCs w:val="22"/>
        </w:rPr>
      </w:pPr>
    </w:p>
    <w:p w14:paraId="30A7333E" w14:textId="1A57D630" w:rsidR="00E0039C" w:rsidRPr="005600D2" w:rsidRDefault="00B24E5B" w:rsidP="00B5777D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  <w:r w:rsidRPr="005600D2">
        <w:rPr>
          <w:rFonts w:ascii="Arial Narrow" w:hAnsi="Arial Narrow" w:cs="Arial"/>
          <w:sz w:val="22"/>
          <w:szCs w:val="22"/>
          <w:lang w:val="es-ES_tradnl"/>
        </w:rPr>
        <w:t>El parágrafo 2 de</w:t>
      </w:r>
      <w:r w:rsidR="0007181E" w:rsidRPr="005600D2">
        <w:rPr>
          <w:rFonts w:ascii="Arial Narrow" w:hAnsi="Arial Narrow" w:cs="Arial"/>
          <w:sz w:val="22"/>
          <w:szCs w:val="22"/>
          <w:lang w:val="es-ES_tradnl"/>
        </w:rPr>
        <w:t>l artículo 4 de la ley 1369 de 2009 y el numeral 6 del artículo 18 de dicha ley,</w:t>
      </w:r>
      <w:r w:rsidR="00E0039C" w:rsidRPr="005600D2">
        <w:rPr>
          <w:rFonts w:ascii="Arial Narrow" w:hAnsi="Arial Narrow" w:cs="Arial"/>
          <w:sz w:val="22"/>
          <w:szCs w:val="22"/>
          <w:lang w:val="es-ES_tradnl"/>
        </w:rPr>
        <w:t xml:space="preserve"> se encuentran vigentes y</w:t>
      </w:r>
      <w:r w:rsidR="0007181E" w:rsidRPr="005600D2">
        <w:rPr>
          <w:rFonts w:ascii="Arial Narrow" w:hAnsi="Arial Narrow" w:cs="Arial"/>
          <w:sz w:val="22"/>
          <w:szCs w:val="22"/>
          <w:lang w:val="es-ES_tradnl"/>
        </w:rPr>
        <w:t xml:space="preserve"> confieren la competencia </w:t>
      </w:r>
      <w:r w:rsidR="00E0039C" w:rsidRPr="005600D2">
        <w:rPr>
          <w:rFonts w:ascii="Arial Narrow" w:hAnsi="Arial Narrow" w:cs="Arial"/>
          <w:sz w:val="22"/>
          <w:szCs w:val="22"/>
          <w:lang w:val="es-ES_tradnl"/>
        </w:rPr>
        <w:t>para modificar la Resolución 3680 de 2013 que establece el sistema de mitigación de riesgo operativo de los operadores postal de pago.</w:t>
      </w:r>
    </w:p>
    <w:p w14:paraId="7537EB65" w14:textId="77777777" w:rsidR="00E0039C" w:rsidRPr="005600D2" w:rsidRDefault="00E0039C" w:rsidP="00B5777D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7CD5137D" w14:textId="77777777" w:rsidR="00584CD6" w:rsidRPr="005600D2" w:rsidRDefault="00584CD6" w:rsidP="00B5777D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1559949B" w14:textId="77777777" w:rsidR="00584CD6" w:rsidRPr="005600D2" w:rsidRDefault="00584CD6" w:rsidP="00B5777D">
      <w:pPr>
        <w:spacing w:after="262" w:line="271" w:lineRule="atLeast"/>
        <w:ind w:right="49"/>
        <w:jc w:val="both"/>
        <w:rPr>
          <w:rFonts w:ascii="Arial Narrow" w:hAnsi="Arial Narrow" w:cs="Arial"/>
          <w:sz w:val="22"/>
          <w:szCs w:val="22"/>
        </w:rPr>
      </w:pPr>
      <w:r w:rsidRPr="005600D2">
        <w:rPr>
          <w:rFonts w:ascii="Arial Narrow" w:hAnsi="Arial Narrow" w:cs="Arial"/>
          <w:b/>
          <w:color w:val="000000"/>
          <w:sz w:val="22"/>
          <w:szCs w:val="22"/>
          <w:lang w:eastAsia="en-US"/>
        </w:rPr>
        <w:t>3.3.</w:t>
      </w:r>
      <w:r w:rsidRPr="005600D2">
        <w:rPr>
          <w:rFonts w:ascii="Arial Narrow" w:hAnsi="Arial Narrow" w:cs="Arial"/>
          <w:b/>
          <w:color w:val="000000"/>
          <w:sz w:val="22"/>
          <w:szCs w:val="22"/>
          <w:lang w:eastAsia="en-US"/>
        </w:rPr>
        <w:tab/>
      </w:r>
      <w:r w:rsidRPr="005600D2">
        <w:rPr>
          <w:rFonts w:ascii="Arial Narrow" w:hAnsi="Arial Narrow" w:cs="Arial"/>
          <w:color w:val="000000"/>
          <w:sz w:val="22"/>
          <w:szCs w:val="22"/>
          <w:lang w:eastAsia="en-US"/>
        </w:rPr>
        <w:t xml:space="preserve">Disposiciones que se derogan, subrogan, modifican, adicionan o desarrollan con el </w:t>
      </w:r>
      <w:r w:rsidRPr="005600D2">
        <w:rPr>
          <w:rFonts w:ascii="Arial Narrow" w:hAnsi="Arial Narrow" w:cs="Arial"/>
          <w:sz w:val="22"/>
          <w:szCs w:val="22"/>
          <w:lang w:val="es-ES_tradnl"/>
        </w:rPr>
        <w:t>acto administrativo</w:t>
      </w:r>
      <w:r w:rsidRPr="005600D2">
        <w:rPr>
          <w:rFonts w:ascii="Arial Narrow" w:hAnsi="Arial Narrow" w:cs="Arial"/>
          <w:color w:val="000000"/>
          <w:sz w:val="22"/>
          <w:szCs w:val="22"/>
          <w:lang w:eastAsia="en-US"/>
        </w:rPr>
        <w:t>:</w:t>
      </w:r>
    </w:p>
    <w:p w14:paraId="28A6AAE5" w14:textId="02E195C1" w:rsidR="00584CD6" w:rsidRPr="005600D2" w:rsidRDefault="0053120E" w:rsidP="00B5777D">
      <w:pPr>
        <w:jc w:val="both"/>
        <w:rPr>
          <w:rFonts w:ascii="Arial Narrow" w:hAnsi="Arial Narrow" w:cs="Arial"/>
          <w:sz w:val="22"/>
          <w:szCs w:val="22"/>
        </w:rPr>
      </w:pPr>
      <w:r w:rsidRPr="005600D2">
        <w:rPr>
          <w:rFonts w:ascii="Arial Narrow" w:hAnsi="Arial Narrow" w:cs="Arial"/>
          <w:sz w:val="22"/>
          <w:szCs w:val="22"/>
        </w:rPr>
        <w:t>Con e</w:t>
      </w:r>
      <w:r w:rsidR="00800B1F" w:rsidRPr="005600D2">
        <w:rPr>
          <w:rFonts w:ascii="Arial Narrow" w:hAnsi="Arial Narrow" w:cs="Arial"/>
          <w:sz w:val="22"/>
          <w:szCs w:val="22"/>
        </w:rPr>
        <w:t xml:space="preserve">l proyecto de </w:t>
      </w:r>
      <w:r w:rsidR="00625E6A" w:rsidRPr="005600D2">
        <w:rPr>
          <w:rFonts w:ascii="Arial Narrow" w:hAnsi="Arial Narrow" w:cs="Arial"/>
          <w:sz w:val="22"/>
          <w:szCs w:val="22"/>
        </w:rPr>
        <w:t>r</w:t>
      </w:r>
      <w:r w:rsidR="00800B1F" w:rsidRPr="005600D2">
        <w:rPr>
          <w:rFonts w:ascii="Arial Narrow" w:hAnsi="Arial Narrow" w:cs="Arial"/>
          <w:sz w:val="22"/>
          <w:szCs w:val="22"/>
        </w:rPr>
        <w:t xml:space="preserve">esolución </w:t>
      </w:r>
      <w:r w:rsidRPr="005600D2">
        <w:rPr>
          <w:rFonts w:ascii="Arial Narrow" w:hAnsi="Arial Narrow" w:cs="Arial"/>
          <w:sz w:val="22"/>
          <w:szCs w:val="22"/>
        </w:rPr>
        <w:t xml:space="preserve">se pretende </w:t>
      </w:r>
      <w:r w:rsidR="00800B1F" w:rsidRPr="005600D2">
        <w:rPr>
          <w:rFonts w:ascii="Arial Narrow" w:hAnsi="Arial Narrow" w:cs="Arial"/>
          <w:sz w:val="22"/>
          <w:szCs w:val="22"/>
        </w:rPr>
        <w:t>modifica</w:t>
      </w:r>
      <w:r w:rsidRPr="005600D2">
        <w:rPr>
          <w:rFonts w:ascii="Arial Narrow" w:hAnsi="Arial Narrow" w:cs="Arial"/>
          <w:sz w:val="22"/>
          <w:szCs w:val="22"/>
        </w:rPr>
        <w:t>r</w:t>
      </w:r>
      <w:r w:rsidR="00800B1F" w:rsidRPr="005600D2">
        <w:rPr>
          <w:rFonts w:ascii="Arial Narrow" w:hAnsi="Arial Narrow" w:cs="Arial"/>
          <w:sz w:val="22"/>
          <w:szCs w:val="22"/>
        </w:rPr>
        <w:t xml:space="preserve"> </w:t>
      </w:r>
      <w:bookmarkStart w:id="1" w:name="_Hlk512417030"/>
      <w:r w:rsidR="00B35D27" w:rsidRPr="005600D2">
        <w:rPr>
          <w:rFonts w:ascii="Arial Narrow" w:hAnsi="Arial Narrow" w:cs="Arial"/>
          <w:sz w:val="22"/>
          <w:szCs w:val="22"/>
        </w:rPr>
        <w:t xml:space="preserve">el </w:t>
      </w:r>
      <w:r w:rsidR="00651D3E" w:rsidRPr="005600D2">
        <w:rPr>
          <w:rFonts w:ascii="Arial Narrow" w:hAnsi="Arial Narrow" w:cs="Arial"/>
          <w:sz w:val="22"/>
          <w:szCs w:val="22"/>
        </w:rPr>
        <w:t xml:space="preserve">literal </w:t>
      </w:r>
      <w:r w:rsidR="00E0039C" w:rsidRPr="005600D2">
        <w:rPr>
          <w:rFonts w:ascii="Arial Narrow" w:hAnsi="Arial Narrow" w:cs="Arial"/>
          <w:sz w:val="22"/>
          <w:szCs w:val="22"/>
        </w:rPr>
        <w:t>b</w:t>
      </w:r>
      <w:r w:rsidR="00651D3E" w:rsidRPr="005600D2">
        <w:rPr>
          <w:rFonts w:ascii="Arial Narrow" w:hAnsi="Arial Narrow" w:cs="Arial"/>
          <w:sz w:val="22"/>
          <w:szCs w:val="22"/>
        </w:rPr>
        <w:t xml:space="preserve">) del numeral 9.5 del </w:t>
      </w:r>
      <w:r w:rsidR="00B35D27" w:rsidRPr="005600D2">
        <w:rPr>
          <w:rFonts w:ascii="Arial Narrow" w:hAnsi="Arial Narrow" w:cs="Arial"/>
          <w:sz w:val="22"/>
          <w:szCs w:val="22"/>
        </w:rPr>
        <w:t xml:space="preserve">artículo </w:t>
      </w:r>
      <w:r w:rsidR="00651D3E" w:rsidRPr="005600D2">
        <w:rPr>
          <w:rFonts w:ascii="Arial Narrow" w:hAnsi="Arial Narrow" w:cs="Arial"/>
          <w:sz w:val="22"/>
          <w:szCs w:val="22"/>
        </w:rPr>
        <w:t xml:space="preserve">9 </w:t>
      </w:r>
      <w:r w:rsidR="00B35D27" w:rsidRPr="005600D2">
        <w:rPr>
          <w:rFonts w:ascii="Arial Narrow" w:hAnsi="Arial Narrow" w:cs="Arial"/>
          <w:sz w:val="22"/>
          <w:szCs w:val="22"/>
        </w:rPr>
        <w:t xml:space="preserve">de </w:t>
      </w:r>
      <w:r w:rsidR="00D1357D" w:rsidRPr="005600D2">
        <w:rPr>
          <w:rFonts w:ascii="Arial Narrow" w:hAnsi="Arial Narrow" w:cs="Arial"/>
          <w:sz w:val="22"/>
          <w:szCs w:val="22"/>
        </w:rPr>
        <w:t xml:space="preserve">la Resolución </w:t>
      </w:r>
      <w:r w:rsidR="00651D3E" w:rsidRPr="005600D2">
        <w:rPr>
          <w:rFonts w:ascii="Arial Narrow" w:hAnsi="Arial Narrow" w:cs="Arial"/>
          <w:sz w:val="22"/>
          <w:szCs w:val="22"/>
        </w:rPr>
        <w:t>3680</w:t>
      </w:r>
      <w:r w:rsidRPr="005600D2">
        <w:rPr>
          <w:rFonts w:ascii="Arial Narrow" w:hAnsi="Arial Narrow" w:cs="Arial"/>
          <w:sz w:val="22"/>
          <w:szCs w:val="22"/>
        </w:rPr>
        <w:t xml:space="preserve"> de 2013</w:t>
      </w:r>
      <w:bookmarkEnd w:id="1"/>
      <w:r w:rsidRPr="005600D2">
        <w:rPr>
          <w:rFonts w:ascii="Arial Narrow" w:hAnsi="Arial Narrow" w:cs="Arial"/>
          <w:sz w:val="22"/>
          <w:szCs w:val="22"/>
        </w:rPr>
        <w:t>.</w:t>
      </w:r>
    </w:p>
    <w:p w14:paraId="1CF6C998" w14:textId="77777777" w:rsidR="00800B1F" w:rsidRPr="005600D2" w:rsidRDefault="00800B1F" w:rsidP="00B5777D">
      <w:pPr>
        <w:jc w:val="both"/>
        <w:rPr>
          <w:rFonts w:ascii="Arial Narrow" w:hAnsi="Arial Narrow" w:cs="Arial"/>
          <w:sz w:val="22"/>
          <w:szCs w:val="22"/>
        </w:rPr>
      </w:pPr>
    </w:p>
    <w:p w14:paraId="42A07AC0" w14:textId="77777777" w:rsidR="00584CD6" w:rsidRPr="005600D2" w:rsidRDefault="00584CD6" w:rsidP="00B5777D">
      <w:pPr>
        <w:jc w:val="both"/>
        <w:rPr>
          <w:rFonts w:ascii="Arial Narrow" w:hAnsi="Arial Narrow" w:cs="Arial"/>
          <w:sz w:val="22"/>
          <w:szCs w:val="22"/>
        </w:rPr>
      </w:pPr>
    </w:p>
    <w:p w14:paraId="2191E9E0" w14:textId="77777777" w:rsidR="00584CD6" w:rsidRPr="005600D2" w:rsidRDefault="00584CD6" w:rsidP="00B5777D">
      <w:pPr>
        <w:ind w:left="705" w:hanging="705"/>
        <w:jc w:val="both"/>
        <w:rPr>
          <w:rFonts w:ascii="Arial Narrow" w:hAnsi="Arial Narrow" w:cs="Arial"/>
          <w:sz w:val="22"/>
          <w:szCs w:val="22"/>
        </w:rPr>
      </w:pPr>
      <w:r w:rsidRPr="005600D2">
        <w:rPr>
          <w:rFonts w:ascii="Arial Narrow" w:hAnsi="Arial Narrow" w:cs="Arial"/>
          <w:b/>
          <w:sz w:val="22"/>
          <w:szCs w:val="22"/>
        </w:rPr>
        <w:t>3.4.</w:t>
      </w:r>
      <w:r w:rsidRPr="005600D2">
        <w:rPr>
          <w:rFonts w:ascii="Arial Narrow" w:hAnsi="Arial Narrow" w:cs="Arial"/>
          <w:sz w:val="22"/>
          <w:szCs w:val="22"/>
        </w:rPr>
        <w:tab/>
        <w:t>Revisión y análisis de las decisiones judiciales de los órganos de cierre de cada jurisdicción que pueden tener impacto o ser relevantes para la expedición del acto:</w:t>
      </w:r>
    </w:p>
    <w:p w14:paraId="75C5ECD8" w14:textId="77777777" w:rsidR="00584CD6" w:rsidRPr="005600D2" w:rsidRDefault="00584CD6" w:rsidP="00B5777D">
      <w:pPr>
        <w:jc w:val="both"/>
        <w:rPr>
          <w:rFonts w:ascii="Arial Narrow" w:hAnsi="Arial Narrow" w:cs="Arial"/>
          <w:sz w:val="22"/>
          <w:szCs w:val="22"/>
        </w:rPr>
      </w:pPr>
    </w:p>
    <w:p w14:paraId="451C1CB2" w14:textId="77777777" w:rsidR="00D5629B" w:rsidRPr="005600D2" w:rsidRDefault="00D5629B" w:rsidP="00B5777D">
      <w:pPr>
        <w:jc w:val="both"/>
        <w:rPr>
          <w:rFonts w:ascii="Arial Narrow" w:hAnsi="Arial Narrow" w:cs="Arial"/>
          <w:sz w:val="22"/>
          <w:szCs w:val="22"/>
        </w:rPr>
      </w:pPr>
      <w:r w:rsidRPr="005600D2">
        <w:rPr>
          <w:rFonts w:ascii="Arial Narrow" w:hAnsi="Arial Narrow" w:cs="Arial"/>
          <w:sz w:val="22"/>
          <w:szCs w:val="22"/>
        </w:rPr>
        <w:t>A la fecha no hay precedentes jurisprudenciales que puedan tener impacto o ser relevantes para la expedición del acto.</w:t>
      </w:r>
    </w:p>
    <w:p w14:paraId="6285A6D0" w14:textId="77777777" w:rsidR="00D5629B" w:rsidRPr="005600D2" w:rsidRDefault="00D5629B" w:rsidP="00B5777D">
      <w:pPr>
        <w:ind w:left="705" w:hanging="705"/>
        <w:jc w:val="both"/>
        <w:rPr>
          <w:rFonts w:ascii="Arial Narrow" w:hAnsi="Arial Narrow" w:cs="Arial"/>
          <w:b/>
          <w:sz w:val="22"/>
          <w:szCs w:val="22"/>
        </w:rPr>
      </w:pPr>
    </w:p>
    <w:p w14:paraId="3C5D64B6" w14:textId="77777777" w:rsidR="00D5629B" w:rsidRPr="005600D2" w:rsidRDefault="00D5629B" w:rsidP="00B5777D">
      <w:pPr>
        <w:ind w:left="705" w:hanging="705"/>
        <w:jc w:val="both"/>
        <w:rPr>
          <w:rFonts w:ascii="Arial Narrow" w:hAnsi="Arial Narrow" w:cs="Arial"/>
          <w:b/>
          <w:sz w:val="22"/>
          <w:szCs w:val="22"/>
        </w:rPr>
      </w:pPr>
    </w:p>
    <w:p w14:paraId="65ED6A37" w14:textId="77777777" w:rsidR="00584CD6" w:rsidRPr="005600D2" w:rsidRDefault="00584CD6" w:rsidP="00B5777D">
      <w:pPr>
        <w:ind w:left="705" w:hanging="705"/>
        <w:jc w:val="both"/>
        <w:rPr>
          <w:rFonts w:ascii="Arial Narrow" w:hAnsi="Arial Narrow" w:cs="Arial"/>
          <w:sz w:val="22"/>
          <w:szCs w:val="22"/>
        </w:rPr>
      </w:pPr>
      <w:r w:rsidRPr="005600D2">
        <w:rPr>
          <w:rFonts w:ascii="Arial Narrow" w:hAnsi="Arial Narrow" w:cs="Arial"/>
          <w:b/>
          <w:sz w:val="22"/>
          <w:szCs w:val="22"/>
        </w:rPr>
        <w:lastRenderedPageBreak/>
        <w:t>3.5.</w:t>
      </w:r>
      <w:r w:rsidRPr="005600D2">
        <w:rPr>
          <w:rFonts w:ascii="Arial Narrow" w:hAnsi="Arial Narrow" w:cs="Arial"/>
          <w:sz w:val="22"/>
          <w:szCs w:val="22"/>
        </w:rPr>
        <w:tab/>
        <w:t>Advertencia de cualquier otra circunstancia jurídica que pueda ser relevante para la expedición del acto:</w:t>
      </w:r>
    </w:p>
    <w:p w14:paraId="6010A07D" w14:textId="77777777" w:rsidR="00584CD6" w:rsidRPr="005600D2" w:rsidRDefault="00584CD6" w:rsidP="00B5777D">
      <w:pPr>
        <w:jc w:val="both"/>
        <w:rPr>
          <w:rFonts w:ascii="Arial Narrow" w:hAnsi="Arial Narrow" w:cs="Arial"/>
          <w:sz w:val="22"/>
          <w:szCs w:val="22"/>
        </w:rPr>
      </w:pPr>
    </w:p>
    <w:p w14:paraId="38962D07" w14:textId="77777777" w:rsidR="00584CD6" w:rsidRPr="005600D2" w:rsidRDefault="00625E6A" w:rsidP="00B5777D">
      <w:pPr>
        <w:jc w:val="both"/>
        <w:rPr>
          <w:rFonts w:ascii="Arial Narrow" w:hAnsi="Arial Narrow" w:cs="Arial"/>
          <w:sz w:val="22"/>
          <w:szCs w:val="22"/>
        </w:rPr>
      </w:pPr>
      <w:r w:rsidRPr="005600D2">
        <w:rPr>
          <w:rFonts w:ascii="Arial Narrow" w:hAnsi="Arial Narrow" w:cs="Arial"/>
          <w:sz w:val="22"/>
          <w:szCs w:val="22"/>
        </w:rPr>
        <w:t xml:space="preserve">Además de las descritas en el numeral 1 de este Soporte Técnico, no hay a la fecha circunstancias jurídicas adicionales relevantes para la expedición del proyecto de resolución. </w:t>
      </w:r>
    </w:p>
    <w:p w14:paraId="744A2EE5" w14:textId="77777777" w:rsidR="00625E6A" w:rsidRPr="005600D2" w:rsidRDefault="00625E6A" w:rsidP="00B5777D">
      <w:pPr>
        <w:jc w:val="both"/>
        <w:rPr>
          <w:rFonts w:ascii="Arial Narrow" w:hAnsi="Arial Narrow" w:cs="Arial"/>
          <w:sz w:val="22"/>
          <w:szCs w:val="22"/>
        </w:rPr>
      </w:pPr>
    </w:p>
    <w:p w14:paraId="5CF600B9" w14:textId="77777777" w:rsidR="00625E6A" w:rsidRPr="005600D2" w:rsidRDefault="00625E6A" w:rsidP="00B5777D">
      <w:pPr>
        <w:jc w:val="both"/>
        <w:rPr>
          <w:rFonts w:ascii="Arial Narrow" w:hAnsi="Arial Narrow" w:cs="Arial"/>
          <w:sz w:val="22"/>
          <w:szCs w:val="22"/>
        </w:rPr>
      </w:pPr>
    </w:p>
    <w:p w14:paraId="6486AB05" w14:textId="77777777" w:rsidR="00584CD6" w:rsidRPr="005600D2" w:rsidRDefault="00584CD6" w:rsidP="00B5777D">
      <w:pPr>
        <w:jc w:val="both"/>
        <w:rPr>
          <w:rFonts w:ascii="Arial Narrow" w:hAnsi="Arial Narrow" w:cs="Arial"/>
          <w:b/>
          <w:sz w:val="22"/>
          <w:szCs w:val="22"/>
          <w:lang w:val="es-ES_tradnl"/>
        </w:rPr>
      </w:pPr>
      <w:r w:rsidRPr="005600D2">
        <w:rPr>
          <w:rFonts w:ascii="Arial Narrow" w:hAnsi="Arial Narrow" w:cs="Arial"/>
          <w:b/>
          <w:sz w:val="22"/>
          <w:szCs w:val="22"/>
          <w:lang w:val="es-ES_tradnl"/>
        </w:rPr>
        <w:t>4.</w:t>
      </w:r>
      <w:r w:rsidRPr="005600D2">
        <w:rPr>
          <w:rFonts w:ascii="Arial Narrow" w:hAnsi="Arial Narrow" w:cs="Arial"/>
          <w:b/>
          <w:sz w:val="22"/>
          <w:szCs w:val="22"/>
          <w:lang w:val="es-ES_tradnl"/>
        </w:rPr>
        <w:tab/>
        <w:t>Estudio preliminar sobre posible impacto económico de la norma a expedir</w:t>
      </w:r>
    </w:p>
    <w:p w14:paraId="1D5BDBA6" w14:textId="77777777" w:rsidR="00584CD6" w:rsidRPr="005600D2" w:rsidRDefault="00584CD6" w:rsidP="00B5777D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</w:p>
    <w:p w14:paraId="68063A4E" w14:textId="77777777" w:rsidR="00D5629B" w:rsidRPr="005600D2" w:rsidRDefault="00D5629B" w:rsidP="00B5777D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  <w:r w:rsidRPr="005600D2">
        <w:rPr>
          <w:rFonts w:ascii="Arial Narrow" w:hAnsi="Arial Narrow" w:cs="Arial"/>
          <w:sz w:val="22"/>
          <w:szCs w:val="22"/>
        </w:rPr>
        <w:t>La expedición del acto administrativo propuesto no genera impacto económico alguno para el Ministerio de Tecnologías de la Información y las Comunicaciones.</w:t>
      </w:r>
    </w:p>
    <w:p w14:paraId="51F7BBB8" w14:textId="77777777" w:rsidR="00584CD6" w:rsidRPr="005600D2" w:rsidRDefault="00584CD6" w:rsidP="00B5777D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</w:p>
    <w:p w14:paraId="27E96593" w14:textId="77777777" w:rsidR="00584CD6" w:rsidRPr="005600D2" w:rsidRDefault="00584CD6" w:rsidP="00B5777D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5600D2">
        <w:rPr>
          <w:rFonts w:ascii="Arial Narrow" w:hAnsi="Arial Narrow" w:cs="Arial"/>
          <w:b/>
          <w:bCs/>
          <w:sz w:val="22"/>
          <w:szCs w:val="22"/>
        </w:rPr>
        <w:t>5.</w:t>
      </w:r>
      <w:r w:rsidRPr="005600D2">
        <w:rPr>
          <w:rFonts w:ascii="Arial Narrow" w:hAnsi="Arial Narrow" w:cs="Arial"/>
          <w:b/>
          <w:bCs/>
          <w:sz w:val="22"/>
          <w:szCs w:val="22"/>
        </w:rPr>
        <w:tab/>
        <w:t>Disponibilidad presupuestal</w:t>
      </w:r>
    </w:p>
    <w:p w14:paraId="3FEA892D" w14:textId="77777777" w:rsidR="00584CD6" w:rsidRPr="005600D2" w:rsidRDefault="00584CD6" w:rsidP="00B5777D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sz w:val="22"/>
          <w:szCs w:val="22"/>
        </w:rPr>
      </w:pPr>
    </w:p>
    <w:p w14:paraId="239D55D9" w14:textId="18E325E7" w:rsidR="00D5629B" w:rsidRPr="005600D2" w:rsidRDefault="00D5629B" w:rsidP="00B5777D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  <w:r w:rsidRPr="005600D2">
        <w:rPr>
          <w:rFonts w:ascii="Arial Narrow" w:hAnsi="Arial Narrow" w:cs="Arial"/>
          <w:sz w:val="22"/>
          <w:szCs w:val="22"/>
        </w:rPr>
        <w:t xml:space="preserve">El proyecto no requiere certificado de disponibilidad presupuestal por cuanto su implementación no genera impacto económico para el </w:t>
      </w:r>
      <w:r w:rsidR="00625E6A" w:rsidRPr="005600D2">
        <w:rPr>
          <w:rFonts w:ascii="Arial Narrow" w:hAnsi="Arial Narrow" w:cs="Arial"/>
          <w:sz w:val="22"/>
          <w:szCs w:val="22"/>
        </w:rPr>
        <w:t>MinTIC</w:t>
      </w:r>
      <w:r w:rsidRPr="005600D2">
        <w:rPr>
          <w:rFonts w:ascii="Arial Narrow" w:hAnsi="Arial Narrow" w:cs="Arial"/>
          <w:sz w:val="22"/>
          <w:szCs w:val="22"/>
        </w:rPr>
        <w:t>.</w:t>
      </w:r>
      <w:bookmarkStart w:id="2" w:name="_Hlk494834610"/>
    </w:p>
    <w:bookmarkEnd w:id="2"/>
    <w:p w14:paraId="65F318C8" w14:textId="77777777" w:rsidR="00584CD6" w:rsidRPr="005600D2" w:rsidRDefault="00584CD6" w:rsidP="00B5777D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sz w:val="22"/>
          <w:szCs w:val="22"/>
        </w:rPr>
      </w:pPr>
    </w:p>
    <w:p w14:paraId="3A0A9E47" w14:textId="77777777" w:rsidR="00584CD6" w:rsidRPr="005600D2" w:rsidRDefault="00584CD6" w:rsidP="00B5777D">
      <w:pPr>
        <w:autoSpaceDE w:val="0"/>
        <w:autoSpaceDN w:val="0"/>
        <w:adjustRightInd w:val="0"/>
        <w:ind w:left="705" w:hanging="705"/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5600D2">
        <w:rPr>
          <w:rFonts w:ascii="Arial Narrow" w:hAnsi="Arial Narrow" w:cs="Arial"/>
          <w:b/>
          <w:bCs/>
          <w:sz w:val="22"/>
          <w:szCs w:val="22"/>
        </w:rPr>
        <w:t>6.</w:t>
      </w:r>
      <w:r w:rsidRPr="005600D2">
        <w:rPr>
          <w:rFonts w:ascii="Arial Narrow" w:hAnsi="Arial Narrow" w:cs="Arial"/>
          <w:b/>
          <w:bCs/>
          <w:sz w:val="22"/>
          <w:szCs w:val="22"/>
        </w:rPr>
        <w:tab/>
      </w:r>
      <w:r w:rsidRPr="005600D2">
        <w:rPr>
          <w:rFonts w:ascii="Arial Narrow" w:hAnsi="Arial Narrow" w:cs="Arial"/>
          <w:b/>
          <w:sz w:val="22"/>
          <w:szCs w:val="22"/>
          <w:lang w:val="es-ES_tradnl"/>
        </w:rPr>
        <w:t>Estudio preliminar sobre posible impacto</w:t>
      </w:r>
      <w:r w:rsidRPr="005600D2">
        <w:rPr>
          <w:rFonts w:ascii="Arial Narrow" w:hAnsi="Arial Narrow" w:cs="Arial"/>
          <w:b/>
          <w:bCs/>
          <w:sz w:val="22"/>
          <w:szCs w:val="22"/>
        </w:rPr>
        <w:t xml:space="preserve"> medioambiental o sobre el patrimonio cultural de la Nación</w:t>
      </w:r>
    </w:p>
    <w:p w14:paraId="4466D9AB" w14:textId="77777777" w:rsidR="00584CD6" w:rsidRPr="005600D2" w:rsidRDefault="00584CD6" w:rsidP="00B5777D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</w:p>
    <w:p w14:paraId="38B940B9" w14:textId="49E04192" w:rsidR="00803789" w:rsidRPr="005600D2" w:rsidRDefault="00E96C31" w:rsidP="00B5777D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  <w:highlight w:val="yellow"/>
        </w:rPr>
      </w:pPr>
      <w:r w:rsidRPr="005600D2">
        <w:rPr>
          <w:rFonts w:ascii="Arial Narrow" w:hAnsi="Arial Narrow" w:cs="Arial"/>
          <w:sz w:val="22"/>
          <w:szCs w:val="22"/>
        </w:rPr>
        <w:t>La norma que expedir no</w:t>
      </w:r>
      <w:r w:rsidR="00803789" w:rsidRPr="005600D2">
        <w:rPr>
          <w:rFonts w:ascii="Arial Narrow" w:hAnsi="Arial Narrow" w:cs="Arial"/>
          <w:sz w:val="22"/>
          <w:szCs w:val="22"/>
        </w:rPr>
        <w:t xml:space="preserve"> genera impacto medioambiental o sobre el patrimonio cultural de la Nación.</w:t>
      </w:r>
    </w:p>
    <w:p w14:paraId="35F4DD9D" w14:textId="77777777" w:rsidR="00584CD6" w:rsidRPr="005600D2" w:rsidRDefault="00584CD6" w:rsidP="00B5777D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</w:p>
    <w:p w14:paraId="0DE692CD" w14:textId="73EF2438" w:rsidR="00584CD6" w:rsidRDefault="00584CD6" w:rsidP="00B5777D">
      <w:pPr>
        <w:contextualSpacing/>
        <w:jc w:val="both"/>
        <w:rPr>
          <w:rFonts w:ascii="Arial Narrow" w:hAnsi="Arial Narrow" w:cs="Arial"/>
          <w:b/>
          <w:sz w:val="22"/>
          <w:szCs w:val="22"/>
        </w:rPr>
      </w:pPr>
    </w:p>
    <w:p w14:paraId="384D5CD3" w14:textId="4BBFA933" w:rsidR="005600D2" w:rsidRPr="005600D2" w:rsidRDefault="005600D2" w:rsidP="00B5777D">
      <w:pPr>
        <w:contextualSpacing/>
        <w:jc w:val="both"/>
        <w:rPr>
          <w:rFonts w:ascii="Arial Narrow" w:hAnsi="Arial Narrow" w:cs="Arial"/>
          <w:sz w:val="22"/>
          <w:szCs w:val="22"/>
        </w:rPr>
      </w:pPr>
      <w:r w:rsidRPr="005600D2">
        <w:rPr>
          <w:rFonts w:ascii="Arial Narrow" w:hAnsi="Arial Narrow" w:cs="Arial"/>
          <w:sz w:val="22"/>
          <w:szCs w:val="22"/>
        </w:rPr>
        <w:t>Cordialmente,</w:t>
      </w:r>
    </w:p>
    <w:p w14:paraId="7CC2E76C" w14:textId="2B43CF1D" w:rsidR="00C46816" w:rsidRDefault="00C46816" w:rsidP="00BD0C00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22"/>
          <w:szCs w:val="22"/>
        </w:rPr>
      </w:pPr>
      <w:r w:rsidRPr="005600D2">
        <w:rPr>
          <w:rFonts w:ascii="Arial Narrow" w:hAnsi="Arial Narrow" w:cs="Arial"/>
          <w:sz w:val="22"/>
          <w:szCs w:val="22"/>
        </w:rPr>
        <w:tab/>
      </w:r>
    </w:p>
    <w:p w14:paraId="636D5CFB" w14:textId="7B083CC3" w:rsidR="005600D2" w:rsidRDefault="005600D2" w:rsidP="00BD0C00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22"/>
          <w:szCs w:val="22"/>
        </w:rPr>
      </w:pPr>
    </w:p>
    <w:p w14:paraId="0610014D" w14:textId="77777777" w:rsidR="005600D2" w:rsidRPr="005600D2" w:rsidRDefault="005600D2" w:rsidP="00BD0C00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color w:val="000000"/>
          <w:sz w:val="22"/>
          <w:szCs w:val="22"/>
        </w:rPr>
      </w:pPr>
    </w:p>
    <w:p w14:paraId="240AC96E" w14:textId="77777777" w:rsidR="00E96C31" w:rsidRPr="005600D2" w:rsidRDefault="00E96C31" w:rsidP="00E96C31">
      <w:pPr>
        <w:jc w:val="center"/>
        <w:rPr>
          <w:rFonts w:ascii="Arial Narrow" w:hAnsi="Arial Narrow" w:cs="Tahoma"/>
          <w:sz w:val="22"/>
          <w:szCs w:val="22"/>
        </w:rPr>
      </w:pPr>
    </w:p>
    <w:p w14:paraId="4CDE39AE" w14:textId="77777777" w:rsidR="00E96C31" w:rsidRPr="005600D2" w:rsidRDefault="00E96C31" w:rsidP="005600D2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b/>
          <w:bCs/>
          <w:sz w:val="22"/>
          <w:szCs w:val="22"/>
          <w:lang w:val="es-MX"/>
        </w:rPr>
      </w:pPr>
      <w:r w:rsidRPr="005600D2">
        <w:rPr>
          <w:rFonts w:ascii="Arial Narrow" w:hAnsi="Arial Narrow" w:cs="Arial"/>
          <w:b/>
          <w:bCs/>
          <w:sz w:val="22"/>
          <w:szCs w:val="22"/>
          <w:lang w:val="es-MX"/>
        </w:rPr>
        <w:t>GLORIA AMPARO RICO VILLEGAS</w:t>
      </w:r>
    </w:p>
    <w:p w14:paraId="0457B54F" w14:textId="77777777" w:rsidR="00E96C31" w:rsidRPr="005600D2" w:rsidRDefault="00E96C31" w:rsidP="005600D2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22"/>
          <w:szCs w:val="22"/>
        </w:rPr>
      </w:pPr>
      <w:r w:rsidRPr="005600D2">
        <w:rPr>
          <w:rFonts w:ascii="Arial Narrow" w:hAnsi="Arial Narrow" w:cs="Arial"/>
          <w:sz w:val="22"/>
          <w:szCs w:val="22"/>
        </w:rPr>
        <w:t>Subdirectora de Asuntos Postales</w:t>
      </w:r>
    </w:p>
    <w:p w14:paraId="33D35D29" w14:textId="77777777" w:rsidR="00E96C31" w:rsidRPr="005600D2" w:rsidRDefault="00E96C31" w:rsidP="00E96C31">
      <w:pPr>
        <w:pStyle w:val="NormalWeb"/>
        <w:spacing w:before="0" w:beforeAutospacing="0" w:after="0" w:afterAutospacing="0"/>
        <w:jc w:val="center"/>
        <w:rPr>
          <w:rFonts w:ascii="Arial Narrow" w:hAnsi="Arial Narrow" w:cs="Arial"/>
          <w:sz w:val="22"/>
          <w:szCs w:val="22"/>
        </w:rPr>
      </w:pPr>
    </w:p>
    <w:p w14:paraId="5ED111F7" w14:textId="77777777" w:rsidR="00E96C31" w:rsidRPr="005600D2" w:rsidRDefault="00E96C31" w:rsidP="00E96C31">
      <w:pPr>
        <w:jc w:val="center"/>
        <w:rPr>
          <w:rFonts w:ascii="Arial Narrow" w:hAnsi="Arial Narrow" w:cs="Tahoma"/>
          <w:sz w:val="22"/>
          <w:szCs w:val="22"/>
        </w:rPr>
      </w:pPr>
    </w:p>
    <w:p w14:paraId="0718F45A" w14:textId="77777777" w:rsidR="00946CAD" w:rsidRPr="005600D2" w:rsidRDefault="00946CAD" w:rsidP="00B5777D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22"/>
          <w:szCs w:val="22"/>
        </w:rPr>
      </w:pPr>
    </w:p>
    <w:p w14:paraId="6362E507" w14:textId="77777777" w:rsidR="00D1357D" w:rsidRPr="005600D2" w:rsidRDefault="00D1357D" w:rsidP="00B5777D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b/>
          <w:sz w:val="22"/>
          <w:szCs w:val="22"/>
          <w:highlight w:val="red"/>
        </w:rPr>
      </w:pPr>
    </w:p>
    <w:p w14:paraId="63F9308E" w14:textId="77777777" w:rsidR="00D1357D" w:rsidRPr="005600D2" w:rsidRDefault="00D1357D" w:rsidP="00B5777D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b/>
          <w:sz w:val="22"/>
          <w:szCs w:val="22"/>
          <w:highlight w:val="red"/>
        </w:rPr>
      </w:pPr>
    </w:p>
    <w:p w14:paraId="69C8B0D1" w14:textId="77777777" w:rsidR="00D1357D" w:rsidRPr="005600D2" w:rsidRDefault="00D1357D" w:rsidP="00B5777D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b/>
          <w:sz w:val="22"/>
          <w:szCs w:val="22"/>
          <w:highlight w:val="red"/>
        </w:rPr>
      </w:pPr>
    </w:p>
    <w:p w14:paraId="53343E15" w14:textId="77777777" w:rsidR="00946CAD" w:rsidRPr="005600D2" w:rsidRDefault="005E3EF8" w:rsidP="00B5777D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b/>
          <w:sz w:val="22"/>
          <w:szCs w:val="22"/>
        </w:rPr>
      </w:pPr>
      <w:r w:rsidRPr="005600D2">
        <w:rPr>
          <w:rFonts w:ascii="Arial Narrow" w:hAnsi="Arial Narrow" w:cs="Arial"/>
          <w:b/>
          <w:sz w:val="22"/>
          <w:szCs w:val="22"/>
        </w:rPr>
        <w:t>HUMBERTO IZQUIERDO SAAVEDRA</w:t>
      </w:r>
    </w:p>
    <w:p w14:paraId="163E84A6" w14:textId="77777777" w:rsidR="00946CAD" w:rsidRPr="005600D2" w:rsidRDefault="00946CAD" w:rsidP="00B5777D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b/>
          <w:sz w:val="22"/>
          <w:szCs w:val="22"/>
        </w:rPr>
      </w:pPr>
      <w:r w:rsidRPr="005600D2">
        <w:rPr>
          <w:rFonts w:ascii="Arial Narrow" w:hAnsi="Arial Narrow" w:cs="Arial"/>
          <w:sz w:val="22"/>
          <w:szCs w:val="22"/>
        </w:rPr>
        <w:t>Jefe Oficina Asesora Jurídica</w:t>
      </w:r>
    </w:p>
    <w:p w14:paraId="77737FAF" w14:textId="77777777" w:rsidR="00946CAD" w:rsidRPr="005600D2" w:rsidRDefault="00946CAD" w:rsidP="00B5777D">
      <w:pPr>
        <w:pStyle w:val="NormalWeb"/>
        <w:spacing w:before="0" w:beforeAutospacing="0" w:after="0" w:afterAutospacing="0"/>
        <w:ind w:left="708"/>
        <w:jc w:val="both"/>
        <w:rPr>
          <w:rFonts w:ascii="Arial Narrow" w:hAnsi="Arial Narrow" w:cs="Arial"/>
          <w:sz w:val="22"/>
          <w:szCs w:val="22"/>
        </w:rPr>
      </w:pPr>
    </w:p>
    <w:p w14:paraId="24F6634C" w14:textId="77777777" w:rsidR="00946CAD" w:rsidRPr="005600D2" w:rsidRDefault="00946CAD" w:rsidP="00B5777D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22"/>
          <w:szCs w:val="22"/>
        </w:rPr>
      </w:pPr>
    </w:p>
    <w:p w14:paraId="1B4C24DE" w14:textId="77777777" w:rsidR="00946CAD" w:rsidRPr="005600D2" w:rsidRDefault="00946CAD" w:rsidP="00B5777D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22"/>
          <w:szCs w:val="22"/>
        </w:rPr>
      </w:pPr>
    </w:p>
    <w:p w14:paraId="532F0C59" w14:textId="77777777" w:rsidR="00946CAD" w:rsidRPr="005600D2" w:rsidRDefault="00946CAD" w:rsidP="00B5777D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16"/>
          <w:szCs w:val="16"/>
        </w:rPr>
      </w:pPr>
      <w:r w:rsidRPr="005600D2">
        <w:rPr>
          <w:rFonts w:ascii="Arial Narrow" w:hAnsi="Arial Narrow" w:cs="Arial"/>
          <w:sz w:val="16"/>
          <w:szCs w:val="16"/>
        </w:rPr>
        <w:t xml:space="preserve">Elaboró: </w:t>
      </w:r>
      <w:r w:rsidR="00651D3E" w:rsidRPr="005600D2">
        <w:rPr>
          <w:rFonts w:ascii="Arial Narrow" w:hAnsi="Arial Narrow" w:cs="Arial"/>
          <w:sz w:val="16"/>
          <w:szCs w:val="16"/>
        </w:rPr>
        <w:t xml:space="preserve">Eugenia Gándara </w:t>
      </w:r>
      <w:r w:rsidRPr="005600D2">
        <w:rPr>
          <w:rFonts w:ascii="Arial Narrow" w:hAnsi="Arial Narrow" w:cs="Arial"/>
          <w:sz w:val="16"/>
          <w:szCs w:val="16"/>
        </w:rPr>
        <w:tab/>
      </w:r>
      <w:r w:rsidR="00651D3E" w:rsidRPr="005600D2">
        <w:rPr>
          <w:rFonts w:ascii="Arial Narrow" w:hAnsi="Arial Narrow" w:cs="Arial"/>
          <w:sz w:val="16"/>
          <w:szCs w:val="16"/>
        </w:rPr>
        <w:t xml:space="preserve"> </w:t>
      </w:r>
    </w:p>
    <w:p w14:paraId="4EF998E9" w14:textId="77777777" w:rsidR="00946CAD" w:rsidRPr="005600D2" w:rsidRDefault="00946CAD" w:rsidP="00B5777D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16"/>
          <w:szCs w:val="16"/>
        </w:rPr>
      </w:pPr>
    </w:p>
    <w:p w14:paraId="586BEFAB" w14:textId="77777777" w:rsidR="00625E6A" w:rsidRPr="005600D2" w:rsidRDefault="00946CAD" w:rsidP="00B5777D">
      <w:pPr>
        <w:jc w:val="both"/>
        <w:rPr>
          <w:rFonts w:ascii="Arial Narrow" w:hAnsi="Arial Narrow" w:cs="Arial"/>
          <w:sz w:val="16"/>
          <w:szCs w:val="16"/>
        </w:rPr>
      </w:pPr>
      <w:r w:rsidRPr="005600D2">
        <w:rPr>
          <w:rFonts w:ascii="Arial Narrow" w:hAnsi="Arial Narrow" w:cs="Arial"/>
          <w:sz w:val="16"/>
          <w:szCs w:val="16"/>
        </w:rPr>
        <w:t>Revisó:</w:t>
      </w:r>
      <w:r w:rsidR="00633B4F" w:rsidRPr="005600D2">
        <w:rPr>
          <w:rFonts w:ascii="Arial Narrow" w:hAnsi="Arial Narrow" w:cs="Arial"/>
          <w:sz w:val="16"/>
          <w:szCs w:val="16"/>
        </w:rPr>
        <w:t xml:space="preserve"> Gloria Pulgarín Ayala</w:t>
      </w:r>
    </w:p>
    <w:p w14:paraId="3FD668D5" w14:textId="3AD18BAE" w:rsidR="00946CAD" w:rsidRPr="005600D2" w:rsidRDefault="00625E6A" w:rsidP="00B5777D">
      <w:pPr>
        <w:jc w:val="both"/>
        <w:rPr>
          <w:rFonts w:ascii="Arial Narrow" w:hAnsi="Arial Narrow" w:cs="Arial"/>
          <w:b/>
          <w:color w:val="000000"/>
          <w:sz w:val="22"/>
          <w:szCs w:val="22"/>
        </w:rPr>
      </w:pPr>
      <w:r w:rsidRPr="005600D2">
        <w:rPr>
          <w:rFonts w:ascii="Arial Narrow" w:hAnsi="Arial Narrow" w:cs="Arial"/>
          <w:sz w:val="16"/>
          <w:szCs w:val="16"/>
        </w:rPr>
        <w:t>Luis Leonardo Monguí Rojas</w:t>
      </w:r>
      <w:r w:rsidR="00D1357D" w:rsidRPr="005600D2">
        <w:rPr>
          <w:rFonts w:ascii="Arial Narrow" w:hAnsi="Arial Narrow" w:cs="Arial"/>
          <w:sz w:val="22"/>
          <w:szCs w:val="22"/>
        </w:rPr>
        <w:tab/>
      </w:r>
    </w:p>
    <w:sectPr w:rsidR="00946CAD" w:rsidRPr="005600D2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ADBAD0" w14:textId="77777777" w:rsidR="00557EAE" w:rsidRDefault="00557EAE" w:rsidP="001C31D5">
      <w:r>
        <w:separator/>
      </w:r>
    </w:p>
  </w:endnote>
  <w:endnote w:type="continuationSeparator" w:id="0">
    <w:p w14:paraId="68864AA5" w14:textId="77777777" w:rsidR="00557EAE" w:rsidRDefault="00557EAE" w:rsidP="001C3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 Narrow" w:hAnsi="Arial Narrow"/>
        <w:sz w:val="16"/>
        <w:szCs w:val="16"/>
      </w:rPr>
      <w:id w:val="-361285649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arrow" w:hAnsi="Arial Narrow"/>
            <w:sz w:val="16"/>
            <w:szCs w:val="16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29E689E3" w14:textId="77777777" w:rsidR="00CB061F" w:rsidRDefault="00CB061F" w:rsidP="00CB061F">
            <w:pPr>
              <w:pStyle w:val="Piedepgina"/>
              <w:rPr>
                <w:rFonts w:ascii="Arial Narrow" w:hAnsi="Arial Narrow"/>
                <w:sz w:val="16"/>
                <w:szCs w:val="16"/>
              </w:rPr>
            </w:pPr>
          </w:p>
          <w:p w14:paraId="0C44845D" w14:textId="4862EB0C" w:rsidR="00CB061F" w:rsidRDefault="00CB061F" w:rsidP="00CB061F">
            <w:pPr>
              <w:pStyle w:val="Piedepgina"/>
              <w:rPr>
                <w:rFonts w:ascii="Arial Narrow" w:hAnsi="Arial Narrow"/>
                <w:bCs/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41E4E09F" wp14:editId="048A16D2">
                  <wp:extent cx="930303" cy="309399"/>
                  <wp:effectExtent l="0" t="0" r="317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_SGS_actualizado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960" cy="314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16"/>
                <w:szCs w:val="16"/>
              </w:rPr>
              <w:tab/>
            </w:r>
            <w:r w:rsidRPr="00374DDE">
              <w:rPr>
                <w:rFonts w:ascii="Arial Narrow" w:hAnsi="Arial Narrow"/>
                <w:sz w:val="16"/>
                <w:szCs w:val="16"/>
                <w:lang w:val="es-ES"/>
              </w:rPr>
              <w:t xml:space="preserve">Página </w: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begin"/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instrText>PAGE</w:instrTex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separate"/>
            </w:r>
            <w:r w:rsidR="00EC74D0">
              <w:rPr>
                <w:rFonts w:ascii="Arial Narrow" w:hAnsi="Arial Narrow"/>
                <w:bCs/>
                <w:noProof/>
                <w:sz w:val="16"/>
                <w:szCs w:val="16"/>
              </w:rPr>
              <w:t>1</w: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end"/>
            </w:r>
            <w:r w:rsidRPr="00374DDE">
              <w:rPr>
                <w:rFonts w:ascii="Arial Narrow" w:hAnsi="Arial Narrow"/>
                <w:sz w:val="16"/>
                <w:szCs w:val="16"/>
                <w:lang w:val="es-ES"/>
              </w:rPr>
              <w:t xml:space="preserve"> de </w: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begin"/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instrText>NUMPAGES</w:instrTex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separate"/>
            </w:r>
            <w:r w:rsidR="00EC74D0">
              <w:rPr>
                <w:rFonts w:ascii="Arial Narrow" w:hAnsi="Arial Narrow"/>
                <w:bCs/>
                <w:noProof/>
                <w:sz w:val="16"/>
                <w:szCs w:val="16"/>
              </w:rPr>
              <w:t>3</w: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end"/>
            </w:r>
            <w:r>
              <w:rPr>
                <w:rFonts w:ascii="Arial Narrow" w:hAnsi="Arial Narrow"/>
                <w:bCs/>
                <w:sz w:val="16"/>
                <w:szCs w:val="16"/>
              </w:rPr>
              <w:tab/>
            </w:r>
            <w:r w:rsidR="00266AB4">
              <w:rPr>
                <w:rFonts w:ascii="Arial Narrow" w:hAnsi="Arial Narrow"/>
                <w:bCs/>
                <w:sz w:val="16"/>
                <w:szCs w:val="16"/>
              </w:rPr>
              <w:t>GJU</w:t>
            </w:r>
            <w:r>
              <w:rPr>
                <w:rFonts w:ascii="Arial Narrow" w:hAnsi="Arial Narrow"/>
                <w:bCs/>
                <w:sz w:val="16"/>
                <w:szCs w:val="16"/>
              </w:rPr>
              <w:t>-TIC-FM-010</w:t>
            </w:r>
          </w:p>
          <w:p w14:paraId="3B969C0F" w14:textId="77777777" w:rsidR="00CB061F" w:rsidRPr="00374DDE" w:rsidRDefault="00CB061F" w:rsidP="00CB061F">
            <w:pPr>
              <w:pStyle w:val="Piedepgina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Cs/>
                <w:sz w:val="16"/>
                <w:szCs w:val="16"/>
              </w:rPr>
              <w:tab/>
            </w:r>
            <w:r>
              <w:rPr>
                <w:rFonts w:ascii="Arial Narrow" w:hAnsi="Arial Narrow"/>
                <w:bCs/>
                <w:sz w:val="16"/>
                <w:szCs w:val="16"/>
              </w:rPr>
              <w:tab/>
              <w:t>V 1.0</w:t>
            </w:r>
          </w:p>
        </w:sdtContent>
      </w:sdt>
    </w:sdtContent>
  </w:sdt>
  <w:p w14:paraId="1BEDAEBD" w14:textId="77777777" w:rsidR="00CB061F" w:rsidRDefault="00CB061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D13C4D" w14:textId="77777777" w:rsidR="00557EAE" w:rsidRDefault="00557EAE" w:rsidP="001C31D5">
      <w:r>
        <w:separator/>
      </w:r>
    </w:p>
  </w:footnote>
  <w:footnote w:type="continuationSeparator" w:id="0">
    <w:p w14:paraId="32A7AEC2" w14:textId="77777777" w:rsidR="00557EAE" w:rsidRDefault="00557EAE" w:rsidP="001C31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461" w:type="pct"/>
      <w:jc w:val="center"/>
      <w:tblBorders>
        <w:insideH w:val="single" w:sz="4" w:space="0" w:color="auto"/>
      </w:tblBorders>
      <w:tblLook w:val="01E0" w:firstRow="1" w:lastRow="1" w:firstColumn="1" w:lastColumn="1" w:noHBand="0" w:noVBand="0"/>
    </w:tblPr>
    <w:tblGrid>
      <w:gridCol w:w="10259"/>
    </w:tblGrid>
    <w:tr w:rsidR="001F260D" w:rsidRPr="00384075" w14:paraId="28CA928D" w14:textId="77777777" w:rsidTr="001F260D">
      <w:trPr>
        <w:trHeight w:val="565"/>
        <w:jc w:val="center"/>
      </w:trPr>
      <w:tc>
        <w:tcPr>
          <w:tcW w:w="9889" w:type="dxa"/>
          <w:vAlign w:val="center"/>
        </w:tcPr>
        <w:p w14:paraId="65AB6099" w14:textId="77777777" w:rsidR="001F260D" w:rsidRPr="00384075" w:rsidRDefault="001F260D" w:rsidP="00E6543A">
          <w:pPr>
            <w:pStyle w:val="Estilo2"/>
            <w:numPr>
              <w:ilvl w:val="0"/>
              <w:numId w:val="0"/>
            </w:numPr>
            <w:ind w:left="360"/>
            <w:jc w:val="right"/>
            <w:rPr>
              <w:rFonts w:ascii="Arial" w:hAnsi="Arial" w:cs="Arial"/>
              <w:sz w:val="20"/>
              <w:szCs w:val="20"/>
            </w:rPr>
          </w:pPr>
          <w:r w:rsidRPr="00384075">
            <w:rPr>
              <w:rFonts w:ascii="Arial" w:hAnsi="Arial" w:cs="Arial"/>
              <w:sz w:val="20"/>
              <w:szCs w:val="20"/>
            </w:rPr>
            <w:t xml:space="preserve"> </w:t>
          </w:r>
        </w:p>
        <w:tbl>
          <w:tblPr>
            <w:tblStyle w:val="Tablaconcuadrcula"/>
            <w:tblW w:w="10033" w:type="dxa"/>
            <w:tblLook w:val="04A0" w:firstRow="1" w:lastRow="0" w:firstColumn="1" w:lastColumn="0" w:noHBand="0" w:noVBand="1"/>
          </w:tblPr>
          <w:tblGrid>
            <w:gridCol w:w="2183"/>
            <w:gridCol w:w="6264"/>
            <w:gridCol w:w="1586"/>
          </w:tblGrid>
          <w:tr w:rsidR="00282E9D" w14:paraId="1C5DFE76" w14:textId="77777777" w:rsidTr="00374F93">
            <w:trPr>
              <w:trHeight w:val="1275"/>
            </w:trPr>
            <w:tc>
              <w:tcPr>
                <w:tcW w:w="2183" w:type="dxa"/>
                <w:vAlign w:val="center"/>
              </w:tcPr>
              <w:p w14:paraId="7AA5B282" w14:textId="77777777" w:rsidR="00282E9D" w:rsidRDefault="00282E9D" w:rsidP="00282E9D">
                <w:pPr>
                  <w:pStyle w:val="Encabezado"/>
                  <w:jc w:val="center"/>
                </w:pPr>
                <w:r>
                  <w:rPr>
                    <w:noProof/>
                    <w:lang w:val="es-CO" w:eastAsia="es-CO"/>
                  </w:rPr>
                  <w:drawing>
                    <wp:inline distT="0" distB="0" distL="0" distR="0" wp14:anchorId="57379903" wp14:editId="0AF5EC0C">
                      <wp:extent cx="1249486" cy="280491"/>
                      <wp:effectExtent l="0" t="0" r="0" b="5715"/>
                      <wp:docPr id="4" name="Imagen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Encabezado MinTIC.pn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14447" cy="29507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264" w:type="dxa"/>
                <w:vAlign w:val="center"/>
              </w:tcPr>
              <w:p w14:paraId="41BE18C4" w14:textId="77777777" w:rsidR="00282E9D" w:rsidRPr="00B924CA" w:rsidRDefault="00664D82" w:rsidP="00282E9D">
                <w:pPr>
                  <w:jc w:val="center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</w:rPr>
                  <w:t>SOPORTE TÉCNICO</w:t>
                </w:r>
              </w:p>
            </w:tc>
            <w:tc>
              <w:tcPr>
                <w:tcW w:w="1586" w:type="dxa"/>
                <w:vAlign w:val="center"/>
              </w:tcPr>
              <w:p w14:paraId="34C8F4A4" w14:textId="77777777" w:rsidR="00282E9D" w:rsidRDefault="00282E9D" w:rsidP="00282E9D">
                <w:pPr>
                  <w:pStyle w:val="Encabezado"/>
                  <w:jc w:val="center"/>
                </w:pPr>
                <w:r w:rsidRPr="004161E7">
                  <w:rPr>
                    <w:noProof/>
                    <w:lang w:val="es-CO" w:eastAsia="es-CO"/>
                  </w:rPr>
                  <w:drawing>
                    <wp:inline distT="0" distB="0" distL="0" distR="0" wp14:anchorId="176D47AD" wp14:editId="56637DFB">
                      <wp:extent cx="791570" cy="768114"/>
                      <wp:effectExtent l="0" t="0" r="8890" b="0"/>
                      <wp:docPr id="2" name="1 Image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1 Imagen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856" t="6711" r="6302" b="53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98900" cy="77522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5CF7C843" w14:textId="77777777" w:rsidR="001F260D" w:rsidRPr="00384075" w:rsidRDefault="001F260D" w:rsidP="009320D2">
          <w:pPr>
            <w:pStyle w:val="Estilo2"/>
            <w:numPr>
              <w:ilvl w:val="0"/>
              <w:numId w:val="0"/>
            </w:numPr>
            <w:ind w:left="360"/>
            <w:jc w:val="right"/>
            <w:rPr>
              <w:rFonts w:ascii="Arial" w:hAnsi="Arial" w:cs="Arial"/>
            </w:rPr>
          </w:pPr>
        </w:p>
      </w:tc>
    </w:tr>
  </w:tbl>
  <w:p w14:paraId="7E64E763" w14:textId="77777777" w:rsidR="00BD6A64" w:rsidRPr="00874DE8" w:rsidRDefault="00BD6A64" w:rsidP="00874DE8">
    <w:pPr>
      <w:pStyle w:val="Encabezado"/>
      <w:jc w:val="right"/>
      <w:rPr>
        <w:rFonts w:ascii="Arial Narrow" w:hAnsi="Arial Narrow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E842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9B35C5"/>
    <w:multiLevelType w:val="hybridMultilevel"/>
    <w:tmpl w:val="12B2A0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A6765"/>
    <w:multiLevelType w:val="hybridMultilevel"/>
    <w:tmpl w:val="8534AEF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FA3500"/>
    <w:multiLevelType w:val="hybridMultilevel"/>
    <w:tmpl w:val="E4622F2A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0D64D7"/>
    <w:multiLevelType w:val="hybridMultilevel"/>
    <w:tmpl w:val="022839B2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AFC41CC"/>
    <w:multiLevelType w:val="hybridMultilevel"/>
    <w:tmpl w:val="DA405052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825C96"/>
    <w:multiLevelType w:val="multilevel"/>
    <w:tmpl w:val="0C0A001F"/>
    <w:styleLink w:val="Estilo1"/>
    <w:lvl w:ilvl="0">
      <w:start w:val="1"/>
      <w:numFmt w:val="decimal"/>
      <w:pStyle w:val="Estilo1CarCarCa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Estilo2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pStyle w:val="Estilo3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pStyle w:val="Estilo4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7" w15:restartNumberingAfterBreak="0">
    <w:nsid w:val="35C927E0"/>
    <w:multiLevelType w:val="hybridMultilevel"/>
    <w:tmpl w:val="0FA6D794"/>
    <w:lvl w:ilvl="0" w:tplc="240A0013">
      <w:start w:val="1"/>
      <w:numFmt w:val="upp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901E0"/>
    <w:multiLevelType w:val="hybridMultilevel"/>
    <w:tmpl w:val="C4A0C8E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255A52"/>
    <w:multiLevelType w:val="hybridMultilevel"/>
    <w:tmpl w:val="04DE38B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933F2B"/>
    <w:multiLevelType w:val="hybridMultilevel"/>
    <w:tmpl w:val="27B48F6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0246DF"/>
    <w:multiLevelType w:val="multilevel"/>
    <w:tmpl w:val="37622B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4C5C1F3F"/>
    <w:multiLevelType w:val="hybridMultilevel"/>
    <w:tmpl w:val="D292BEC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D3407B2"/>
    <w:multiLevelType w:val="hybridMultilevel"/>
    <w:tmpl w:val="D15425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E16BAF"/>
    <w:multiLevelType w:val="hybridMultilevel"/>
    <w:tmpl w:val="BDF84570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E5239F8"/>
    <w:multiLevelType w:val="hybridMultilevel"/>
    <w:tmpl w:val="0536672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6A0F74"/>
    <w:multiLevelType w:val="hybridMultilevel"/>
    <w:tmpl w:val="336E8D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B07BA9"/>
    <w:multiLevelType w:val="multilevel"/>
    <w:tmpl w:val="2DDEF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63516289"/>
    <w:multiLevelType w:val="hybridMultilevel"/>
    <w:tmpl w:val="C5EEE7C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811DB3"/>
    <w:multiLevelType w:val="multilevel"/>
    <w:tmpl w:val="0C0A001F"/>
    <w:numStyleLink w:val="Estilo1"/>
  </w:abstractNum>
  <w:abstractNum w:abstractNumId="20" w15:restartNumberingAfterBreak="0">
    <w:nsid w:val="67A86117"/>
    <w:multiLevelType w:val="multilevel"/>
    <w:tmpl w:val="E7D8E4D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1" w15:restartNumberingAfterBreak="0">
    <w:nsid w:val="6B154A90"/>
    <w:multiLevelType w:val="hybridMultilevel"/>
    <w:tmpl w:val="06D8D17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1D0E0F"/>
    <w:multiLevelType w:val="hybridMultilevel"/>
    <w:tmpl w:val="9AE02E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673DDB"/>
    <w:multiLevelType w:val="hybridMultilevel"/>
    <w:tmpl w:val="97CCDEF6"/>
    <w:lvl w:ilvl="0" w:tplc="240A0013">
      <w:start w:val="1"/>
      <w:numFmt w:val="upp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BE3377"/>
    <w:multiLevelType w:val="hybridMultilevel"/>
    <w:tmpl w:val="509AA104"/>
    <w:lvl w:ilvl="0" w:tplc="0FA8DC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1D3D6A"/>
    <w:multiLevelType w:val="hybridMultilevel"/>
    <w:tmpl w:val="BB7E6302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"/>
  </w:num>
  <w:num w:numId="4">
    <w:abstractNumId w:val="21"/>
  </w:num>
  <w:num w:numId="5">
    <w:abstractNumId w:val="13"/>
  </w:num>
  <w:num w:numId="6">
    <w:abstractNumId w:val="5"/>
  </w:num>
  <w:num w:numId="7">
    <w:abstractNumId w:val="3"/>
  </w:num>
  <w:num w:numId="8">
    <w:abstractNumId w:val="7"/>
  </w:num>
  <w:num w:numId="9">
    <w:abstractNumId w:val="22"/>
  </w:num>
  <w:num w:numId="10">
    <w:abstractNumId w:val="23"/>
  </w:num>
  <w:num w:numId="11">
    <w:abstractNumId w:val="10"/>
  </w:num>
  <w:num w:numId="12">
    <w:abstractNumId w:val="8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14"/>
  </w:num>
  <w:num w:numId="16">
    <w:abstractNumId w:val="15"/>
  </w:num>
  <w:num w:numId="17">
    <w:abstractNumId w:val="2"/>
  </w:num>
  <w:num w:numId="18">
    <w:abstractNumId w:val="4"/>
  </w:num>
  <w:num w:numId="19">
    <w:abstractNumId w:val="25"/>
  </w:num>
  <w:num w:numId="20">
    <w:abstractNumId w:val="11"/>
  </w:num>
  <w:num w:numId="21">
    <w:abstractNumId w:val="24"/>
  </w:num>
  <w:num w:numId="22">
    <w:abstractNumId w:val="19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1080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800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88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60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432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68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5400"/>
          </w:tabs>
          <w:ind w:left="4320" w:hanging="1440"/>
        </w:pPr>
      </w:lvl>
    </w:lvlOverride>
  </w:num>
  <w:num w:numId="23">
    <w:abstractNumId w:val="6"/>
  </w:num>
  <w:num w:numId="24">
    <w:abstractNumId w:val="17"/>
  </w:num>
  <w:num w:numId="25">
    <w:abstractNumId w:val="20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EDB"/>
    <w:rsid w:val="000120CA"/>
    <w:rsid w:val="0001689A"/>
    <w:rsid w:val="00021C86"/>
    <w:rsid w:val="00024ED9"/>
    <w:rsid w:val="000273A7"/>
    <w:rsid w:val="0003154E"/>
    <w:rsid w:val="00032BAD"/>
    <w:rsid w:val="000401A2"/>
    <w:rsid w:val="000427CC"/>
    <w:rsid w:val="0004302A"/>
    <w:rsid w:val="00046747"/>
    <w:rsid w:val="00054427"/>
    <w:rsid w:val="000608B6"/>
    <w:rsid w:val="0006775E"/>
    <w:rsid w:val="0007181E"/>
    <w:rsid w:val="00077BE8"/>
    <w:rsid w:val="00080C96"/>
    <w:rsid w:val="0008272E"/>
    <w:rsid w:val="000875DA"/>
    <w:rsid w:val="00092248"/>
    <w:rsid w:val="000A39C2"/>
    <w:rsid w:val="000B6016"/>
    <w:rsid w:val="000B7E58"/>
    <w:rsid w:val="000C0C67"/>
    <w:rsid w:val="000C0EF5"/>
    <w:rsid w:val="000C1429"/>
    <w:rsid w:val="000C5D78"/>
    <w:rsid w:val="000D0767"/>
    <w:rsid w:val="000D0A08"/>
    <w:rsid w:val="000E1562"/>
    <w:rsid w:val="000F5AD9"/>
    <w:rsid w:val="001004BB"/>
    <w:rsid w:val="001015D4"/>
    <w:rsid w:val="001117EE"/>
    <w:rsid w:val="00112DEF"/>
    <w:rsid w:val="00116683"/>
    <w:rsid w:val="00116D73"/>
    <w:rsid w:val="001248E7"/>
    <w:rsid w:val="00127B40"/>
    <w:rsid w:val="00132DB9"/>
    <w:rsid w:val="0013318A"/>
    <w:rsid w:val="00137878"/>
    <w:rsid w:val="00145A25"/>
    <w:rsid w:val="0014615D"/>
    <w:rsid w:val="00153619"/>
    <w:rsid w:val="001549E2"/>
    <w:rsid w:val="00156622"/>
    <w:rsid w:val="0015786D"/>
    <w:rsid w:val="0016385A"/>
    <w:rsid w:val="00166506"/>
    <w:rsid w:val="001735FB"/>
    <w:rsid w:val="00175AB9"/>
    <w:rsid w:val="001901F2"/>
    <w:rsid w:val="00194B79"/>
    <w:rsid w:val="001A20FC"/>
    <w:rsid w:val="001B18A5"/>
    <w:rsid w:val="001C31D5"/>
    <w:rsid w:val="001D14B5"/>
    <w:rsid w:val="001D63D4"/>
    <w:rsid w:val="001D6A5B"/>
    <w:rsid w:val="001D7465"/>
    <w:rsid w:val="001D7E05"/>
    <w:rsid w:val="001E42C9"/>
    <w:rsid w:val="001E65DF"/>
    <w:rsid w:val="001E6D7C"/>
    <w:rsid w:val="001F1161"/>
    <w:rsid w:val="001F260D"/>
    <w:rsid w:val="001F62F8"/>
    <w:rsid w:val="001F6AE2"/>
    <w:rsid w:val="00204A22"/>
    <w:rsid w:val="002050FD"/>
    <w:rsid w:val="00205B64"/>
    <w:rsid w:val="0021268B"/>
    <w:rsid w:val="002137A2"/>
    <w:rsid w:val="00214BE5"/>
    <w:rsid w:val="0021700F"/>
    <w:rsid w:val="002213F4"/>
    <w:rsid w:val="00233523"/>
    <w:rsid w:val="00241307"/>
    <w:rsid w:val="002414CE"/>
    <w:rsid w:val="00245AEA"/>
    <w:rsid w:val="00252479"/>
    <w:rsid w:val="00254FA4"/>
    <w:rsid w:val="0026691C"/>
    <w:rsid w:val="00266AB4"/>
    <w:rsid w:val="00272BD8"/>
    <w:rsid w:val="00272C4E"/>
    <w:rsid w:val="00277582"/>
    <w:rsid w:val="00282E9D"/>
    <w:rsid w:val="00286F9D"/>
    <w:rsid w:val="00292AC1"/>
    <w:rsid w:val="002A6A0A"/>
    <w:rsid w:val="002B1B17"/>
    <w:rsid w:val="002B7BA9"/>
    <w:rsid w:val="002C574A"/>
    <w:rsid w:val="002D0A21"/>
    <w:rsid w:val="002D11F5"/>
    <w:rsid w:val="002D434B"/>
    <w:rsid w:val="002D4F57"/>
    <w:rsid w:val="002E02E0"/>
    <w:rsid w:val="002E2C6B"/>
    <w:rsid w:val="002F0317"/>
    <w:rsid w:val="002F16F3"/>
    <w:rsid w:val="002F356D"/>
    <w:rsid w:val="002F3F00"/>
    <w:rsid w:val="002F445E"/>
    <w:rsid w:val="002F4CA2"/>
    <w:rsid w:val="003002ED"/>
    <w:rsid w:val="003011F0"/>
    <w:rsid w:val="003016E5"/>
    <w:rsid w:val="0030255B"/>
    <w:rsid w:val="0031247B"/>
    <w:rsid w:val="00312ED5"/>
    <w:rsid w:val="003130CD"/>
    <w:rsid w:val="0033101C"/>
    <w:rsid w:val="00332B5B"/>
    <w:rsid w:val="0033635F"/>
    <w:rsid w:val="00336A51"/>
    <w:rsid w:val="0034181D"/>
    <w:rsid w:val="003428A6"/>
    <w:rsid w:val="00350A0A"/>
    <w:rsid w:val="00350EDB"/>
    <w:rsid w:val="00351B59"/>
    <w:rsid w:val="00354B2A"/>
    <w:rsid w:val="00355222"/>
    <w:rsid w:val="00355D96"/>
    <w:rsid w:val="00357E04"/>
    <w:rsid w:val="003673D7"/>
    <w:rsid w:val="003706C9"/>
    <w:rsid w:val="0037212B"/>
    <w:rsid w:val="00377C20"/>
    <w:rsid w:val="00383A23"/>
    <w:rsid w:val="00384419"/>
    <w:rsid w:val="00384E98"/>
    <w:rsid w:val="00394F85"/>
    <w:rsid w:val="003A119D"/>
    <w:rsid w:val="003A783B"/>
    <w:rsid w:val="003B1858"/>
    <w:rsid w:val="003B1C85"/>
    <w:rsid w:val="003B789C"/>
    <w:rsid w:val="003C1521"/>
    <w:rsid w:val="003C1C7E"/>
    <w:rsid w:val="003C2C17"/>
    <w:rsid w:val="003D1A66"/>
    <w:rsid w:val="003D45A4"/>
    <w:rsid w:val="003D50ED"/>
    <w:rsid w:val="003E79D4"/>
    <w:rsid w:val="003F264E"/>
    <w:rsid w:val="00401BA5"/>
    <w:rsid w:val="00405AB0"/>
    <w:rsid w:val="004125D5"/>
    <w:rsid w:val="004156EA"/>
    <w:rsid w:val="004168B7"/>
    <w:rsid w:val="004207CA"/>
    <w:rsid w:val="00422BC6"/>
    <w:rsid w:val="00427037"/>
    <w:rsid w:val="00427F4B"/>
    <w:rsid w:val="00430770"/>
    <w:rsid w:val="00431C52"/>
    <w:rsid w:val="004352FB"/>
    <w:rsid w:val="00440ADD"/>
    <w:rsid w:val="00452299"/>
    <w:rsid w:val="0045740E"/>
    <w:rsid w:val="00461A98"/>
    <w:rsid w:val="00466896"/>
    <w:rsid w:val="0047246C"/>
    <w:rsid w:val="0047247E"/>
    <w:rsid w:val="004821B1"/>
    <w:rsid w:val="00484BE0"/>
    <w:rsid w:val="0048716A"/>
    <w:rsid w:val="0048734C"/>
    <w:rsid w:val="00491171"/>
    <w:rsid w:val="004958F3"/>
    <w:rsid w:val="0049622F"/>
    <w:rsid w:val="004B7188"/>
    <w:rsid w:val="004C6AD7"/>
    <w:rsid w:val="004C6F8E"/>
    <w:rsid w:val="004C7BE9"/>
    <w:rsid w:val="004D058F"/>
    <w:rsid w:val="004F00EB"/>
    <w:rsid w:val="004F02E8"/>
    <w:rsid w:val="004F37DF"/>
    <w:rsid w:val="004F682A"/>
    <w:rsid w:val="004F6933"/>
    <w:rsid w:val="0050295C"/>
    <w:rsid w:val="005071A1"/>
    <w:rsid w:val="0051216F"/>
    <w:rsid w:val="00513E59"/>
    <w:rsid w:val="00522088"/>
    <w:rsid w:val="00530D64"/>
    <w:rsid w:val="0053120E"/>
    <w:rsid w:val="00535C61"/>
    <w:rsid w:val="00541183"/>
    <w:rsid w:val="00543916"/>
    <w:rsid w:val="005451D9"/>
    <w:rsid w:val="00551441"/>
    <w:rsid w:val="00554CD6"/>
    <w:rsid w:val="00557059"/>
    <w:rsid w:val="00557EAE"/>
    <w:rsid w:val="005600D2"/>
    <w:rsid w:val="00566B9B"/>
    <w:rsid w:val="00576987"/>
    <w:rsid w:val="00584CD6"/>
    <w:rsid w:val="00586A38"/>
    <w:rsid w:val="00586AEE"/>
    <w:rsid w:val="005907E1"/>
    <w:rsid w:val="005A0564"/>
    <w:rsid w:val="005A5AA2"/>
    <w:rsid w:val="005A7198"/>
    <w:rsid w:val="005A7D62"/>
    <w:rsid w:val="005B40B4"/>
    <w:rsid w:val="005B4E24"/>
    <w:rsid w:val="005B58E8"/>
    <w:rsid w:val="005C3D27"/>
    <w:rsid w:val="005C65D6"/>
    <w:rsid w:val="005D3812"/>
    <w:rsid w:val="005D5E92"/>
    <w:rsid w:val="005D73E9"/>
    <w:rsid w:val="005D7583"/>
    <w:rsid w:val="005E3EF8"/>
    <w:rsid w:val="005E7E92"/>
    <w:rsid w:val="005F4585"/>
    <w:rsid w:val="005F664A"/>
    <w:rsid w:val="00603DAC"/>
    <w:rsid w:val="0060574A"/>
    <w:rsid w:val="00606AFC"/>
    <w:rsid w:val="00617035"/>
    <w:rsid w:val="006175D6"/>
    <w:rsid w:val="0062039D"/>
    <w:rsid w:val="00622458"/>
    <w:rsid w:val="00623B59"/>
    <w:rsid w:val="006242F0"/>
    <w:rsid w:val="00625E6A"/>
    <w:rsid w:val="00626DC4"/>
    <w:rsid w:val="0062725F"/>
    <w:rsid w:val="00633B4F"/>
    <w:rsid w:val="00636977"/>
    <w:rsid w:val="00642F9D"/>
    <w:rsid w:val="00644E72"/>
    <w:rsid w:val="006469F4"/>
    <w:rsid w:val="00651D3E"/>
    <w:rsid w:val="00651F29"/>
    <w:rsid w:val="00655062"/>
    <w:rsid w:val="00655832"/>
    <w:rsid w:val="006624C8"/>
    <w:rsid w:val="00663146"/>
    <w:rsid w:val="00664D82"/>
    <w:rsid w:val="00670708"/>
    <w:rsid w:val="0067306E"/>
    <w:rsid w:val="00675784"/>
    <w:rsid w:val="00683228"/>
    <w:rsid w:val="006837FA"/>
    <w:rsid w:val="00690391"/>
    <w:rsid w:val="0069489B"/>
    <w:rsid w:val="00697AA7"/>
    <w:rsid w:val="006A2956"/>
    <w:rsid w:val="006A5ACB"/>
    <w:rsid w:val="006A7EFA"/>
    <w:rsid w:val="006B2DE7"/>
    <w:rsid w:val="006B4EE7"/>
    <w:rsid w:val="006B74B3"/>
    <w:rsid w:val="006C0EF2"/>
    <w:rsid w:val="006D0894"/>
    <w:rsid w:val="006D134A"/>
    <w:rsid w:val="006D159D"/>
    <w:rsid w:val="006D1D8D"/>
    <w:rsid w:val="006F708D"/>
    <w:rsid w:val="00705A02"/>
    <w:rsid w:val="00723936"/>
    <w:rsid w:val="00726CF3"/>
    <w:rsid w:val="007318F3"/>
    <w:rsid w:val="0074092B"/>
    <w:rsid w:val="00741CAA"/>
    <w:rsid w:val="00744882"/>
    <w:rsid w:val="0074671A"/>
    <w:rsid w:val="0074690B"/>
    <w:rsid w:val="00747206"/>
    <w:rsid w:val="00762043"/>
    <w:rsid w:val="00762E92"/>
    <w:rsid w:val="007650C4"/>
    <w:rsid w:val="00780350"/>
    <w:rsid w:val="007828D9"/>
    <w:rsid w:val="007833BA"/>
    <w:rsid w:val="007844D4"/>
    <w:rsid w:val="00794273"/>
    <w:rsid w:val="007A30D7"/>
    <w:rsid w:val="007A550B"/>
    <w:rsid w:val="007A6819"/>
    <w:rsid w:val="007B07D3"/>
    <w:rsid w:val="007B41D0"/>
    <w:rsid w:val="007B44E6"/>
    <w:rsid w:val="007B5737"/>
    <w:rsid w:val="007B6B07"/>
    <w:rsid w:val="007D3C2F"/>
    <w:rsid w:val="007D50F2"/>
    <w:rsid w:val="007E5F98"/>
    <w:rsid w:val="007E6370"/>
    <w:rsid w:val="007F535C"/>
    <w:rsid w:val="00800B1F"/>
    <w:rsid w:val="008014A7"/>
    <w:rsid w:val="00803789"/>
    <w:rsid w:val="008053BB"/>
    <w:rsid w:val="008064B1"/>
    <w:rsid w:val="00813742"/>
    <w:rsid w:val="00816419"/>
    <w:rsid w:val="00821CFA"/>
    <w:rsid w:val="008221E4"/>
    <w:rsid w:val="00833FCC"/>
    <w:rsid w:val="00841BBA"/>
    <w:rsid w:val="00846F21"/>
    <w:rsid w:val="0085318E"/>
    <w:rsid w:val="00857B6D"/>
    <w:rsid w:val="008678F9"/>
    <w:rsid w:val="00871BCA"/>
    <w:rsid w:val="00874071"/>
    <w:rsid w:val="00874DE8"/>
    <w:rsid w:val="008833CB"/>
    <w:rsid w:val="00890CC3"/>
    <w:rsid w:val="008938CD"/>
    <w:rsid w:val="008A2E19"/>
    <w:rsid w:val="008A2F81"/>
    <w:rsid w:val="008A640D"/>
    <w:rsid w:val="008B351D"/>
    <w:rsid w:val="008B47C7"/>
    <w:rsid w:val="008C476B"/>
    <w:rsid w:val="008C63C3"/>
    <w:rsid w:val="008C7913"/>
    <w:rsid w:val="008D332C"/>
    <w:rsid w:val="008D5401"/>
    <w:rsid w:val="008E4343"/>
    <w:rsid w:val="008E4404"/>
    <w:rsid w:val="008E463A"/>
    <w:rsid w:val="008E53D8"/>
    <w:rsid w:val="008E63C7"/>
    <w:rsid w:val="008F44B3"/>
    <w:rsid w:val="008F47EC"/>
    <w:rsid w:val="009072D1"/>
    <w:rsid w:val="00907FE8"/>
    <w:rsid w:val="00912F39"/>
    <w:rsid w:val="00916E2B"/>
    <w:rsid w:val="00917EE4"/>
    <w:rsid w:val="00925707"/>
    <w:rsid w:val="0092721C"/>
    <w:rsid w:val="00927920"/>
    <w:rsid w:val="009320D2"/>
    <w:rsid w:val="00935D5B"/>
    <w:rsid w:val="00940CB0"/>
    <w:rsid w:val="00942F6C"/>
    <w:rsid w:val="00944BAE"/>
    <w:rsid w:val="00946CAD"/>
    <w:rsid w:val="00963170"/>
    <w:rsid w:val="0096517E"/>
    <w:rsid w:val="00975F46"/>
    <w:rsid w:val="00980FF9"/>
    <w:rsid w:val="009850CE"/>
    <w:rsid w:val="009853C4"/>
    <w:rsid w:val="009868AB"/>
    <w:rsid w:val="009965B8"/>
    <w:rsid w:val="009A27F7"/>
    <w:rsid w:val="009A4300"/>
    <w:rsid w:val="009A501B"/>
    <w:rsid w:val="009A7A29"/>
    <w:rsid w:val="009B1537"/>
    <w:rsid w:val="009B2738"/>
    <w:rsid w:val="009B3501"/>
    <w:rsid w:val="009B3539"/>
    <w:rsid w:val="009B4162"/>
    <w:rsid w:val="009C0D0B"/>
    <w:rsid w:val="009C121F"/>
    <w:rsid w:val="009D1616"/>
    <w:rsid w:val="009D7CC2"/>
    <w:rsid w:val="009E4F5E"/>
    <w:rsid w:val="009F1799"/>
    <w:rsid w:val="009F3BCA"/>
    <w:rsid w:val="009F47D9"/>
    <w:rsid w:val="009F51E5"/>
    <w:rsid w:val="00A0412A"/>
    <w:rsid w:val="00A101E4"/>
    <w:rsid w:val="00A16CAA"/>
    <w:rsid w:val="00A231F9"/>
    <w:rsid w:val="00A32DCD"/>
    <w:rsid w:val="00A3369E"/>
    <w:rsid w:val="00A37F21"/>
    <w:rsid w:val="00A54D45"/>
    <w:rsid w:val="00A56858"/>
    <w:rsid w:val="00A60FF8"/>
    <w:rsid w:val="00A61292"/>
    <w:rsid w:val="00A673A1"/>
    <w:rsid w:val="00A70B13"/>
    <w:rsid w:val="00A720A4"/>
    <w:rsid w:val="00A72187"/>
    <w:rsid w:val="00A819EC"/>
    <w:rsid w:val="00A90069"/>
    <w:rsid w:val="00A90D93"/>
    <w:rsid w:val="00A967FD"/>
    <w:rsid w:val="00AA57F6"/>
    <w:rsid w:val="00AB032F"/>
    <w:rsid w:val="00AB1F9F"/>
    <w:rsid w:val="00AB6244"/>
    <w:rsid w:val="00AB6CC2"/>
    <w:rsid w:val="00AB7A93"/>
    <w:rsid w:val="00AC46C4"/>
    <w:rsid w:val="00AD4282"/>
    <w:rsid w:val="00AE0B9D"/>
    <w:rsid w:val="00AE3C74"/>
    <w:rsid w:val="00AF0356"/>
    <w:rsid w:val="00AF254C"/>
    <w:rsid w:val="00AF3EB6"/>
    <w:rsid w:val="00B01E85"/>
    <w:rsid w:val="00B04D6A"/>
    <w:rsid w:val="00B11AC7"/>
    <w:rsid w:val="00B11DBD"/>
    <w:rsid w:val="00B16DC4"/>
    <w:rsid w:val="00B1763D"/>
    <w:rsid w:val="00B17B94"/>
    <w:rsid w:val="00B24E5B"/>
    <w:rsid w:val="00B24F3F"/>
    <w:rsid w:val="00B26B5A"/>
    <w:rsid w:val="00B2721C"/>
    <w:rsid w:val="00B34B70"/>
    <w:rsid w:val="00B35D27"/>
    <w:rsid w:val="00B443C1"/>
    <w:rsid w:val="00B51CD1"/>
    <w:rsid w:val="00B5450E"/>
    <w:rsid w:val="00B545E6"/>
    <w:rsid w:val="00B55046"/>
    <w:rsid w:val="00B5777D"/>
    <w:rsid w:val="00B70E32"/>
    <w:rsid w:val="00B77C20"/>
    <w:rsid w:val="00B84D08"/>
    <w:rsid w:val="00B913AA"/>
    <w:rsid w:val="00B932E5"/>
    <w:rsid w:val="00B94214"/>
    <w:rsid w:val="00B949D4"/>
    <w:rsid w:val="00BA5A9E"/>
    <w:rsid w:val="00BA66AC"/>
    <w:rsid w:val="00BA7D5D"/>
    <w:rsid w:val="00BB0356"/>
    <w:rsid w:val="00BB0787"/>
    <w:rsid w:val="00BB383E"/>
    <w:rsid w:val="00BB4F34"/>
    <w:rsid w:val="00BB5C0C"/>
    <w:rsid w:val="00BC725D"/>
    <w:rsid w:val="00BD0233"/>
    <w:rsid w:val="00BD0C00"/>
    <w:rsid w:val="00BD3D67"/>
    <w:rsid w:val="00BD6A64"/>
    <w:rsid w:val="00BE3B65"/>
    <w:rsid w:val="00BF4F29"/>
    <w:rsid w:val="00BF59C1"/>
    <w:rsid w:val="00BF6057"/>
    <w:rsid w:val="00C00287"/>
    <w:rsid w:val="00C01927"/>
    <w:rsid w:val="00C02FCB"/>
    <w:rsid w:val="00C03D15"/>
    <w:rsid w:val="00C14381"/>
    <w:rsid w:val="00C14F9E"/>
    <w:rsid w:val="00C17ED7"/>
    <w:rsid w:val="00C20B2F"/>
    <w:rsid w:val="00C20EDC"/>
    <w:rsid w:val="00C223DF"/>
    <w:rsid w:val="00C318B9"/>
    <w:rsid w:val="00C334F8"/>
    <w:rsid w:val="00C4025B"/>
    <w:rsid w:val="00C450E3"/>
    <w:rsid w:val="00C46816"/>
    <w:rsid w:val="00C52CE6"/>
    <w:rsid w:val="00C62A4B"/>
    <w:rsid w:val="00C645AB"/>
    <w:rsid w:val="00C649DD"/>
    <w:rsid w:val="00C729A9"/>
    <w:rsid w:val="00C75BB1"/>
    <w:rsid w:val="00C75DE1"/>
    <w:rsid w:val="00C77EB2"/>
    <w:rsid w:val="00C968B3"/>
    <w:rsid w:val="00CA57AF"/>
    <w:rsid w:val="00CA5E3A"/>
    <w:rsid w:val="00CB061F"/>
    <w:rsid w:val="00CB7256"/>
    <w:rsid w:val="00CD0CB7"/>
    <w:rsid w:val="00CD2E3D"/>
    <w:rsid w:val="00CD663A"/>
    <w:rsid w:val="00CD772D"/>
    <w:rsid w:val="00CE33B5"/>
    <w:rsid w:val="00CF0E14"/>
    <w:rsid w:val="00CF1CF3"/>
    <w:rsid w:val="00CF1D1E"/>
    <w:rsid w:val="00CF4000"/>
    <w:rsid w:val="00CF470D"/>
    <w:rsid w:val="00CF5F3F"/>
    <w:rsid w:val="00CF73F0"/>
    <w:rsid w:val="00CF7CFB"/>
    <w:rsid w:val="00D05FD8"/>
    <w:rsid w:val="00D126AA"/>
    <w:rsid w:val="00D1357D"/>
    <w:rsid w:val="00D303F7"/>
    <w:rsid w:val="00D50118"/>
    <w:rsid w:val="00D50BF3"/>
    <w:rsid w:val="00D5629B"/>
    <w:rsid w:val="00D66F58"/>
    <w:rsid w:val="00D70557"/>
    <w:rsid w:val="00D72684"/>
    <w:rsid w:val="00D73110"/>
    <w:rsid w:val="00D738CA"/>
    <w:rsid w:val="00D76A5B"/>
    <w:rsid w:val="00D77190"/>
    <w:rsid w:val="00D96C20"/>
    <w:rsid w:val="00DA715A"/>
    <w:rsid w:val="00DB075A"/>
    <w:rsid w:val="00DB4753"/>
    <w:rsid w:val="00DB6670"/>
    <w:rsid w:val="00DB6763"/>
    <w:rsid w:val="00DC1908"/>
    <w:rsid w:val="00DD7D74"/>
    <w:rsid w:val="00DE0D32"/>
    <w:rsid w:val="00DE1443"/>
    <w:rsid w:val="00DE43C7"/>
    <w:rsid w:val="00DF3786"/>
    <w:rsid w:val="00DF71DB"/>
    <w:rsid w:val="00DF7381"/>
    <w:rsid w:val="00E0039C"/>
    <w:rsid w:val="00E04916"/>
    <w:rsid w:val="00E20879"/>
    <w:rsid w:val="00E21E32"/>
    <w:rsid w:val="00E22E09"/>
    <w:rsid w:val="00E2419B"/>
    <w:rsid w:val="00E30D7F"/>
    <w:rsid w:val="00E41D10"/>
    <w:rsid w:val="00E44BD0"/>
    <w:rsid w:val="00E45C6A"/>
    <w:rsid w:val="00E5688A"/>
    <w:rsid w:val="00E6090B"/>
    <w:rsid w:val="00E633F5"/>
    <w:rsid w:val="00E6543A"/>
    <w:rsid w:val="00E8220A"/>
    <w:rsid w:val="00E87813"/>
    <w:rsid w:val="00E9141F"/>
    <w:rsid w:val="00E96C31"/>
    <w:rsid w:val="00E973F3"/>
    <w:rsid w:val="00EA32DE"/>
    <w:rsid w:val="00EA3D50"/>
    <w:rsid w:val="00EA6778"/>
    <w:rsid w:val="00EB2796"/>
    <w:rsid w:val="00EB526F"/>
    <w:rsid w:val="00EB6858"/>
    <w:rsid w:val="00EC15FA"/>
    <w:rsid w:val="00EC6EE7"/>
    <w:rsid w:val="00EC74D0"/>
    <w:rsid w:val="00EC7B84"/>
    <w:rsid w:val="00ED6B6A"/>
    <w:rsid w:val="00EE0A2E"/>
    <w:rsid w:val="00EE1352"/>
    <w:rsid w:val="00EE355E"/>
    <w:rsid w:val="00EE4EDC"/>
    <w:rsid w:val="00EE6A9A"/>
    <w:rsid w:val="00EF0699"/>
    <w:rsid w:val="00EF0842"/>
    <w:rsid w:val="00EF41F9"/>
    <w:rsid w:val="00F07FAC"/>
    <w:rsid w:val="00F12154"/>
    <w:rsid w:val="00F156B0"/>
    <w:rsid w:val="00F20557"/>
    <w:rsid w:val="00F3466D"/>
    <w:rsid w:val="00F41800"/>
    <w:rsid w:val="00F516DB"/>
    <w:rsid w:val="00F55C14"/>
    <w:rsid w:val="00F57DA2"/>
    <w:rsid w:val="00F61C29"/>
    <w:rsid w:val="00F64435"/>
    <w:rsid w:val="00F81894"/>
    <w:rsid w:val="00F82506"/>
    <w:rsid w:val="00F95E1F"/>
    <w:rsid w:val="00FA4A5A"/>
    <w:rsid w:val="00FA5940"/>
    <w:rsid w:val="00FB5C9E"/>
    <w:rsid w:val="00FC14F9"/>
    <w:rsid w:val="00FC4ECF"/>
    <w:rsid w:val="00FC67C4"/>
    <w:rsid w:val="00FE478F"/>
    <w:rsid w:val="00FE7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FECD56"/>
  <w15:docId w15:val="{A236D690-4F07-45BB-B09E-205184849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50EDB"/>
    <w:rPr>
      <w:rFonts w:ascii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350EDB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350EDB"/>
    <w:pPr>
      <w:ind w:left="720"/>
    </w:pPr>
    <w:rPr>
      <w:rFonts w:ascii="Calibri" w:hAnsi="Calibri" w:cs="Calibri"/>
      <w:sz w:val="22"/>
      <w:szCs w:val="22"/>
    </w:rPr>
  </w:style>
  <w:style w:type="paragraph" w:styleId="Textonotapie">
    <w:name w:val="footnote text"/>
    <w:basedOn w:val="Normal"/>
    <w:link w:val="TextonotapieCar"/>
    <w:rsid w:val="001C31D5"/>
    <w:rPr>
      <w:rFonts w:eastAsia="Times New Roman"/>
      <w:sz w:val="20"/>
      <w:szCs w:val="20"/>
      <w:lang w:val="x-none" w:eastAsia="es-ES"/>
    </w:rPr>
  </w:style>
  <w:style w:type="character" w:customStyle="1" w:styleId="TextonotapieCar">
    <w:name w:val="Texto nota pie Car"/>
    <w:link w:val="Textonotapie"/>
    <w:rsid w:val="001C31D5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rsid w:val="001C31D5"/>
    <w:rPr>
      <w:vertAlign w:val="superscript"/>
    </w:rPr>
  </w:style>
  <w:style w:type="paragraph" w:customStyle="1" w:styleId="Default">
    <w:name w:val="Default"/>
    <w:rsid w:val="00CF1D1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01E85"/>
    <w:rPr>
      <w:rFonts w:ascii="Tahoma" w:hAnsi="Tahoma"/>
      <w:sz w:val="16"/>
      <w:szCs w:val="16"/>
      <w:lang w:val="x-none"/>
    </w:rPr>
  </w:style>
  <w:style w:type="character" w:customStyle="1" w:styleId="TextodegloboCar">
    <w:name w:val="Texto de globo Car"/>
    <w:link w:val="Textodeglobo"/>
    <w:uiPriority w:val="99"/>
    <w:semiHidden/>
    <w:rsid w:val="00B01E85"/>
    <w:rPr>
      <w:rFonts w:ascii="Tahoma" w:hAnsi="Tahoma" w:cs="Tahoma"/>
      <w:sz w:val="16"/>
      <w:szCs w:val="16"/>
      <w:lang w:eastAsia="es-CO"/>
    </w:rPr>
  </w:style>
  <w:style w:type="character" w:styleId="Refdecomentario">
    <w:name w:val="annotation reference"/>
    <w:uiPriority w:val="99"/>
    <w:semiHidden/>
    <w:unhideWhenUsed/>
    <w:rsid w:val="002F4CA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F4CA2"/>
    <w:rPr>
      <w:sz w:val="20"/>
      <w:szCs w:val="20"/>
      <w:lang w:val="x-none"/>
    </w:rPr>
  </w:style>
  <w:style w:type="character" w:customStyle="1" w:styleId="TextocomentarioCar">
    <w:name w:val="Texto comentario Car"/>
    <w:link w:val="Textocomentario"/>
    <w:uiPriority w:val="99"/>
    <w:semiHidden/>
    <w:rsid w:val="002F4CA2"/>
    <w:rPr>
      <w:rFonts w:ascii="Times New Roman" w:hAnsi="Times New Roman" w:cs="Times New Roman"/>
      <w:sz w:val="20"/>
      <w:szCs w:val="20"/>
      <w:lang w:eastAsia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F4CA2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2F4CA2"/>
    <w:rPr>
      <w:rFonts w:ascii="Times New Roman" w:hAnsi="Times New Roman" w:cs="Times New Roman"/>
      <w:b/>
      <w:bCs/>
      <w:sz w:val="20"/>
      <w:szCs w:val="20"/>
      <w:lang w:eastAsia="es-CO"/>
    </w:rPr>
  </w:style>
  <w:style w:type="paragraph" w:styleId="Encabezado">
    <w:name w:val="header"/>
    <w:basedOn w:val="Normal"/>
    <w:link w:val="EncabezadoCar"/>
    <w:uiPriority w:val="99"/>
    <w:rsid w:val="00890CC3"/>
    <w:pPr>
      <w:tabs>
        <w:tab w:val="center" w:pos="4252"/>
        <w:tab w:val="right" w:pos="8504"/>
      </w:tabs>
    </w:pPr>
    <w:rPr>
      <w:rFonts w:eastAsia="Times New Roman"/>
      <w:lang w:val="x-none" w:eastAsia="es-ES"/>
    </w:rPr>
  </w:style>
  <w:style w:type="character" w:customStyle="1" w:styleId="EncabezadoCar">
    <w:name w:val="Encabezado Car"/>
    <w:link w:val="Encabezado"/>
    <w:uiPriority w:val="99"/>
    <w:rsid w:val="00890CC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3">
    <w:name w:val="Body Text 3"/>
    <w:basedOn w:val="Normal"/>
    <w:link w:val="Textoindependiente3Car"/>
    <w:rsid w:val="000C1429"/>
    <w:pPr>
      <w:pBdr>
        <w:top w:val="single" w:sz="4" w:space="1" w:color="auto"/>
        <w:left w:val="single" w:sz="4" w:space="4" w:color="auto"/>
        <w:bottom w:val="single" w:sz="4" w:space="9" w:color="auto"/>
        <w:right w:val="single" w:sz="4" w:space="4" w:color="auto"/>
      </w:pBdr>
      <w:tabs>
        <w:tab w:val="left" w:pos="0"/>
      </w:tabs>
      <w:spacing w:after="240"/>
      <w:jc w:val="both"/>
    </w:pPr>
    <w:rPr>
      <w:rFonts w:ascii="Arial Narrow" w:eastAsia="Times New Roman" w:hAnsi="Arial Narrow"/>
      <w:sz w:val="20"/>
      <w:szCs w:val="20"/>
      <w:u w:color="000080"/>
      <w:lang w:val="es-ES" w:eastAsia="es-ES"/>
    </w:rPr>
  </w:style>
  <w:style w:type="character" w:customStyle="1" w:styleId="Textoindependiente3Car">
    <w:name w:val="Texto independiente 3 Car"/>
    <w:link w:val="Textoindependiente3"/>
    <w:rsid w:val="000C1429"/>
    <w:rPr>
      <w:rFonts w:ascii="Arial Narrow" w:eastAsia="Times New Roman" w:hAnsi="Arial Narrow" w:cs="Times New Roman"/>
      <w:u w:color="000080"/>
      <w:lang w:val="es-ES" w:eastAsia="es-ES"/>
    </w:rPr>
  </w:style>
  <w:style w:type="numbering" w:customStyle="1" w:styleId="Estilo1">
    <w:name w:val="Estilo1"/>
    <w:basedOn w:val="Sinlista"/>
    <w:rsid w:val="00683228"/>
    <w:pPr>
      <w:numPr>
        <w:numId w:val="23"/>
      </w:numPr>
    </w:pPr>
  </w:style>
  <w:style w:type="paragraph" w:customStyle="1" w:styleId="Estilo1CarCarCar">
    <w:name w:val="Estilo 1 Car Car Car"/>
    <w:basedOn w:val="Normal"/>
    <w:rsid w:val="00683228"/>
    <w:pPr>
      <w:numPr>
        <w:numId w:val="23"/>
      </w:numPr>
      <w:jc w:val="both"/>
    </w:pPr>
    <w:rPr>
      <w:rFonts w:ascii="Verdana" w:eastAsia="Times New Roman" w:hAnsi="Verdana"/>
      <w:b/>
      <w:lang w:val="x-none" w:eastAsia="es-ES"/>
    </w:rPr>
  </w:style>
  <w:style w:type="paragraph" w:customStyle="1" w:styleId="Estilo2">
    <w:name w:val="Estilo2"/>
    <w:basedOn w:val="Normal"/>
    <w:rsid w:val="00683228"/>
    <w:pPr>
      <w:numPr>
        <w:ilvl w:val="1"/>
        <w:numId w:val="23"/>
      </w:numPr>
    </w:pPr>
    <w:rPr>
      <w:rFonts w:ascii="Verdana" w:eastAsia="Times New Roman" w:hAnsi="Verdana"/>
      <w:lang w:val="es-ES" w:eastAsia="es-ES"/>
    </w:rPr>
  </w:style>
  <w:style w:type="paragraph" w:customStyle="1" w:styleId="Estilo3">
    <w:name w:val="Estilo3"/>
    <w:basedOn w:val="Normal"/>
    <w:rsid w:val="00683228"/>
    <w:pPr>
      <w:numPr>
        <w:ilvl w:val="2"/>
        <w:numId w:val="23"/>
      </w:numPr>
    </w:pPr>
    <w:rPr>
      <w:rFonts w:ascii="Verdana" w:eastAsia="Times New Roman" w:hAnsi="Verdana"/>
      <w:lang w:val="es-ES" w:eastAsia="es-ES"/>
    </w:rPr>
  </w:style>
  <w:style w:type="paragraph" w:customStyle="1" w:styleId="Estilo4">
    <w:name w:val="Estilo4"/>
    <w:basedOn w:val="Continuarlista"/>
    <w:rsid w:val="00683228"/>
    <w:pPr>
      <w:numPr>
        <w:ilvl w:val="3"/>
        <w:numId w:val="23"/>
      </w:numPr>
      <w:tabs>
        <w:tab w:val="clear" w:pos="2520"/>
        <w:tab w:val="num" w:pos="1080"/>
        <w:tab w:val="num" w:pos="2880"/>
      </w:tabs>
      <w:spacing w:after="0"/>
      <w:ind w:left="1080" w:hanging="1080"/>
      <w:contextualSpacing w:val="0"/>
      <w:jc w:val="both"/>
    </w:pPr>
    <w:rPr>
      <w:rFonts w:ascii="Verdana" w:eastAsia="Times New Roman" w:hAnsi="Verdana"/>
      <w:sz w:val="22"/>
      <w:szCs w:val="22"/>
      <w:lang w:eastAsia="es-ES"/>
    </w:rPr>
  </w:style>
  <w:style w:type="paragraph" w:styleId="Continuarlista">
    <w:name w:val="List Continue"/>
    <w:basedOn w:val="Normal"/>
    <w:uiPriority w:val="99"/>
    <w:semiHidden/>
    <w:unhideWhenUsed/>
    <w:rsid w:val="00683228"/>
    <w:pPr>
      <w:spacing w:after="120"/>
      <w:ind w:left="283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BD6A6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BD6A64"/>
    <w:rPr>
      <w:rFonts w:ascii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rsid w:val="008E463A"/>
    <w:pPr>
      <w:spacing w:before="100" w:beforeAutospacing="1" w:after="100" w:afterAutospacing="1"/>
    </w:pPr>
    <w:rPr>
      <w:rFonts w:eastAsia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E45C6A"/>
    <w:pPr>
      <w:ind w:left="720"/>
      <w:contextualSpacing/>
    </w:pPr>
  </w:style>
  <w:style w:type="table" w:styleId="Tablaconcuadrcula">
    <w:name w:val="Table Grid"/>
    <w:basedOn w:val="Tablanormal"/>
    <w:uiPriority w:val="59"/>
    <w:rsid w:val="00282E9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aj">
    <w:name w:val="i_aj"/>
    <w:basedOn w:val="Fuentedeprrafopredeter"/>
    <w:rsid w:val="00651D3E"/>
  </w:style>
  <w:style w:type="character" w:customStyle="1" w:styleId="btext">
    <w:name w:val="btext"/>
    <w:basedOn w:val="Fuentedeprrafopredeter"/>
    <w:rsid w:val="00651D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42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E89476-297F-4284-8294-7E4FF6902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964</Words>
  <Characters>5307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Janeth Cortes Hernandez</dc:creator>
  <cp:lastModifiedBy>Gloria Amparo Rico Villegas</cp:lastModifiedBy>
  <cp:revision>2</cp:revision>
  <cp:lastPrinted>2015-12-03T17:27:00Z</cp:lastPrinted>
  <dcterms:created xsi:type="dcterms:W3CDTF">2018-07-05T19:01:00Z</dcterms:created>
  <dcterms:modified xsi:type="dcterms:W3CDTF">2018-07-05T19:01:00Z</dcterms:modified>
</cp:coreProperties>
</file>